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CD26E" w14:textId="77777777" w:rsidR="00FE2BEB" w:rsidRPr="00DE2E77" w:rsidRDefault="006E09A9" w:rsidP="00E542CF">
      <w:pPr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 xml:space="preserve">REGULAMENTO DE AVALIAÇÃO DO DESEMPENHO DO PESSOAL DOCENTE </w:t>
      </w:r>
      <w:r>
        <w:rPr>
          <w:rFonts w:cs="Arial"/>
          <w:b/>
          <w:szCs w:val="22"/>
        </w:rPr>
        <w:t>DA UNIVERSIDADE POLITÉCNICA DE SANTARÉM</w:t>
      </w:r>
    </w:p>
    <w:p w14:paraId="0C21BBFA" w14:textId="77777777" w:rsidR="00FE2BEB" w:rsidRPr="00DE2E77" w:rsidRDefault="006E09A9" w:rsidP="00E542CF">
      <w:pPr>
        <w:jc w:val="center"/>
        <w:rPr>
          <w:rFonts w:cs="Arial"/>
          <w:szCs w:val="22"/>
        </w:rPr>
      </w:pPr>
      <w:r>
        <w:rPr>
          <w:rFonts w:cs="Arial"/>
          <w:szCs w:val="22"/>
        </w:rPr>
        <w:t>Proposta de revisão — versão adequada ao modelo harmonizado de avaliação, para validação da DSAJ (setembro de 2026); alterações face à versão consolidada de 15 de julho assinaladas a amarelo.</w:t>
      </w:r>
    </w:p>
    <w:p w14:paraId="05351C86" w14:textId="314A8D30" w:rsidR="00FE2BEB" w:rsidRPr="00DE2E77" w:rsidRDefault="006E09A9" w:rsidP="008D4FAF">
      <w:pPr>
        <w:spacing w:before="48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 presente projeto procede à revisão do Regulamento de Avaliação do Desempenho do Pessoal Docente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 xml:space="preserve">, aprovado pelo Despacho n.º 8706/2011, de 28 de junho, </w:t>
      </w:r>
      <w:r>
        <w:rPr>
          <w:rFonts w:cs="Arial"/>
          <w:szCs w:val="22"/>
        </w:rPr>
        <w:t xml:space="preserve">e </w:t>
      </w:r>
      <w:r>
        <w:rPr>
          <w:rFonts w:cs="Arial"/>
          <w:szCs w:val="22"/>
        </w:rPr>
        <w:t xml:space="preserve">da </w:t>
      </w:r>
      <w:r>
        <w:rPr>
          <w:rFonts w:cs="Arial"/>
          <w:szCs w:val="22"/>
        </w:rPr>
        <w:t>densificação da</w:t>
      </w:r>
      <w:r>
        <w:rPr>
          <w:rFonts w:cs="Arial"/>
          <w:szCs w:val="22"/>
        </w:rPr>
        <w:t xml:space="preserve"> respetiva grelha aprovada pelo Despacho n.º </w:t>
      </w:r>
      <w:r>
        <w:rPr>
          <w:rFonts w:cs="Arial"/>
          <w:szCs w:val="22"/>
        </w:rPr>
        <w:t>815/2025, de 17 de janeiro,</w:t>
      </w: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tendo em vista a atualização do regime aplicável ao ciclo avaliativo de 2027-2029 e aos ciclos subsequentes.</w:t>
      </w:r>
    </w:p>
    <w:p w14:paraId="6193E4B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A revisão visa reforçar a clareza normativa, a previsibilidade dos critérios, a participação dos órgãos científicos e pedagógicos, já prevista no regime vigente, e a segurança procedimental, mantendo a conformidade do sistema com os artigos 35.º-A a 35.º-C do ECPDESP.</w:t>
      </w:r>
    </w:p>
    <w:p w14:paraId="01BA4ED9" w14:textId="77777777" w:rsidR="00FE2BEB" w:rsidRPr="00DE2E77" w:rsidRDefault="00D97E8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Este preâmbulo deve ser completado, na versão final a publicar, com a referência expressa ao procedimento regulamentar efetivamente cumprido, designadamente quanto à audição das organizações sindicais, à participação dos interessados e à ponderação dos contributos recebidos.</w:t>
      </w:r>
    </w:p>
    <w:p w14:paraId="636F92C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Assim, ao abrigo dos artigos 35.º-A a 35.º-C do ECPDESP, da alínea </w:t>
      </w:r>
      <w:r>
        <w:rPr>
          <w:rFonts w:cs="Arial"/>
          <w:szCs w:val="22"/>
        </w:rPr>
        <w:t>n</w:t>
      </w:r>
      <w:r>
        <w:rPr>
          <w:rFonts w:cs="Arial"/>
          <w:szCs w:val="22"/>
        </w:rPr>
        <w:t xml:space="preserve">) do n.º 1 do artigo 92.º do RJIES, das alíneas d) e m) do n.º 2 do artigo 28.º dos Estatutos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 xml:space="preserve">, </w:t>
      </w:r>
      <w:r>
        <w:rPr>
          <w:rFonts w:cs="Arial"/>
          <w:szCs w:val="22"/>
        </w:rPr>
        <w:t xml:space="preserve">do n.º 3 do artigo 110.º do RJIES </w:t>
      </w:r>
      <w:r>
        <w:rPr>
          <w:rFonts w:cs="Arial"/>
          <w:szCs w:val="22"/>
        </w:rPr>
        <w:t>e dos artigos 98.º e seguintes do Código do Procedimento Administrativo, propõe-se a seguinte redação:</w:t>
      </w:r>
    </w:p>
    <w:p w14:paraId="4A5FB69D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CAPÍTULO I</w:t>
      </w:r>
    </w:p>
    <w:p w14:paraId="54ED8458" w14:textId="77777777" w:rsidR="00FE2BEB" w:rsidRPr="00DE2E77" w:rsidRDefault="006E09A9" w:rsidP="008D4FAF">
      <w:pPr>
        <w:spacing w:after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Disposições gerais</w:t>
      </w:r>
    </w:p>
    <w:p w14:paraId="36FAFF9B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1.º</w:t>
      </w:r>
    </w:p>
    <w:p w14:paraId="562CBCC4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Objeto</w:t>
      </w:r>
    </w:p>
    <w:p w14:paraId="0D5294C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O presente Regulamento estabelece o regime de avaliação do desempenho do pessoal docente </w:t>
      </w:r>
      <w:r>
        <w:rPr>
          <w:rFonts w:cs="Arial"/>
          <w:szCs w:val="22"/>
        </w:rPr>
        <w:t>da Universidade Politécnica de Santarém, abreviadamente designada por UPSantarém</w:t>
      </w:r>
      <w:r>
        <w:rPr>
          <w:rFonts w:cs="Arial"/>
          <w:szCs w:val="22"/>
        </w:rPr>
        <w:t>.</w:t>
      </w:r>
    </w:p>
    <w:p w14:paraId="34226D83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 — O presente Regulamento define, ainda, as regras da relevância da avaliação para efeitos de alteração do posicionamento remuneratório, nos termos dos artigos 35.º-B a 35.º-C do </w:t>
        <w:lastRenderedPageBreak/>
        <w:t>Estatuto da Carreira do Pessoal Docente do Ensino Superior Politécnico, abreviadamente designado por ECPDESP.</w:t>
      </w:r>
    </w:p>
    <w:p w14:paraId="27CFFE8D" w14:textId="77777777" w:rsidR="00FE2BEB" w:rsidRPr="00DE2E77" w:rsidRDefault="006E09A9" w:rsidP="008D4FAF">
      <w:pPr>
        <w:spacing w:before="36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2.º</w:t>
      </w:r>
    </w:p>
    <w:p w14:paraId="71653765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Âmbito</w:t>
      </w:r>
    </w:p>
    <w:p w14:paraId="530B052B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O presente Regulamento aplica-se aos docentes vinculados contratualmente </w:t>
      </w:r>
      <w:r>
        <w:rPr>
          <w:rFonts w:cs="Arial"/>
          <w:szCs w:val="22"/>
        </w:rPr>
        <w:t>à UPSantarém</w:t>
      </w:r>
      <w:r>
        <w:rPr>
          <w:rFonts w:cs="Arial"/>
          <w:szCs w:val="22"/>
        </w:rPr>
        <w:t>, independentemente da natureza do vínculo, da categoria e do regime de prestação de serviço.</w:t>
      </w:r>
    </w:p>
    <w:p w14:paraId="68D2169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 — Ficam excluídas do presente Regulamento as funções exercidas pelos titulares dos cargos de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>r e de Vice-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 xml:space="preserve">r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>, pelos Diretores e Subdiretores das unidades orgânicas e pelos titulares de cargos a estes legalmente equiparados.</w:t>
      </w:r>
    </w:p>
    <w:p w14:paraId="5EBA76A0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avaliação dos titulares referidos no número anterior rege-se por regulamento próprio.</w:t>
      </w:r>
    </w:p>
    <w:p w14:paraId="3265C00D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3.º</w:t>
      </w:r>
    </w:p>
    <w:p w14:paraId="04858A18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Definições</w:t>
      </w:r>
    </w:p>
    <w:p w14:paraId="120F664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Para efeitos do presente Regulamento, entende-se por:</w:t>
      </w:r>
    </w:p>
    <w:p w14:paraId="73D2938B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«Ano de avaliação», o ano civil compreendido no ciclo avaliativo, salvo disposição especial aplicável a docentes contratados a termo ou a tempo parcial;</w:t>
      </w:r>
    </w:p>
    <w:p w14:paraId="707323B8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«Ciclo de avaliação», o período de três anos civis completos aplicável aos docentes contratados por tempo indeterminado, sem prejuízo dos regimes especiais previstos no presente Regulamento;</w:t>
      </w:r>
    </w:p>
    <w:p w14:paraId="0C2E3D29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«Grelha de avaliação», o instrumento complementar de execução identificado como Anexo I, que integra as vertentes, os parâmetros, os indicadores, as unidades de contagem, os pontos base, as bonificações e penalizações, os tetos, as ponderações e as regras de cálculo;</w:t>
      </w:r>
    </w:p>
    <w:p w14:paraId="64ED1659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«Perfil de avaliação», a distribuição das ponderações pelas vertentes da avaliação, fixada dentro dos limites previstos no presente Regulamento;</w:t>
      </w:r>
    </w:p>
    <w:p w14:paraId="767F46F8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«Plano de trabalho», o documento que identifica as atividades, objetivos e responsabilidades relevantes para o desempenho do docente no ciclo avaliativo;</w:t>
      </w:r>
    </w:p>
    <w:p w14:paraId="0BD294DA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«Dirigente máximo», o Reitor da UPSantarém;</w:t>
      </w:r>
    </w:p>
    <w:p w14:paraId="7EC995DE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«Vertente», a área principal de atividade objeto de avaliação, correspondente às funções previstas no artigo 2.º-A do ECPDESP;</w:t>
      </w:r>
    </w:p>
    <w:p w14:paraId="16875D9D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«Parâmetro», a subárea de uma vertente que agrupa um conjunto coerente de indicadores;</w:t>
      </w:r>
    </w:p>
    <w:p w14:paraId="621EFC2B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«Indicador», a unidade concreta de atividade ou resultado suscetível de registo e pontuação, com os respetivos pontos base, bonificações, penalizações e tetos;</w:t>
      </w:r>
    </w:p>
    <w:p w14:paraId="59BCD6EF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«Pontuação de referência (PR)», o valor de referência de cada parâmetro, </w:t>
      </w:r>
      <w:r>
        <w:rPr>
          <w:rFonts w:ascii="Arial" w:hAnsi="Arial"/>
        </w:rPr>
        <w:t>fixado para cada ciclo de avaliação, por comparação</w:t>
      </w:r>
      <w:r>
        <w:rPr>
          <w:rFonts w:ascii="Arial" w:hAnsi="Arial"/>
        </w:rPr>
        <w:t xml:space="preserve"> com o qual a pontuação obtida é convertida em classificação parcial;</w:t>
      </w:r>
    </w:p>
    <w:p w14:paraId="3C8E7C72" w14:textId="77777777" w:rsidR="00FE2BEB" w:rsidRPr="00DE2E77" w:rsidRDefault="006E09A9" w:rsidP="008D4FAF">
      <w:pPr>
        <w:pStyle w:val="PargrafodaLista"/>
        <w:numPr>
          <w:ilvl w:val="0"/>
          <w:numId w:val="8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«Classificação parcial (Cp)», a classificação de 1 a 5 atribuída a cada parâmetro por comparação da pontuação obtida com a respetiva pontuação de referência.</w:t>
      </w:r>
    </w:p>
    <w:p w14:paraId="28A5334F" w14:textId="2E89B01A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4.º</w:t>
      </w:r>
    </w:p>
    <w:p w14:paraId="64AE1572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Princípios</w:t>
      </w:r>
    </w:p>
    <w:p w14:paraId="057995A7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A avaliação do desempenho observa os princípios previstos no ECPDESP e no Código do Procedimento Administrativo.</w:t>
      </w:r>
    </w:p>
    <w:p w14:paraId="246ED5FA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avaliação do desempenho atende, em especial, aos seguintes princípios:</w:t>
      </w:r>
    </w:p>
    <w:p w14:paraId="4B139509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Universalidade e obrigatoriedade da avaliação;</w:t>
      </w:r>
    </w:p>
    <w:p w14:paraId="49496378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Consideração de todas as vertentes da atividade docente;</w:t>
      </w:r>
    </w:p>
    <w:p w14:paraId="1F79CD56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Adequação à especificidade de cada área disciplinar;</w:t>
      </w:r>
    </w:p>
    <w:p w14:paraId="1EC70E72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Orientação para a melhoria contínua da qualidade do desempenho;</w:t>
      </w:r>
    </w:p>
    <w:p w14:paraId="5581F9B7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Transparência, previsibilidade e divulgação atempada dos critérios;</w:t>
      </w:r>
    </w:p>
    <w:p w14:paraId="7655B433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Imparcialidade, objetividade e fundamentação das decisões;</w:t>
      </w:r>
    </w:p>
    <w:p w14:paraId="50EEF6BF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Participação do avaliado e garantia de audiência prévia;</w:t>
      </w:r>
    </w:p>
    <w:p w14:paraId="7A7CDEB7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Diferenciação do desempenho e justo equilíbrio na distribuição dos resultados;</w:t>
      </w:r>
    </w:p>
    <w:p w14:paraId="237910D0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Confidencialidade dos elementos individualmente considerados;</w:t>
      </w:r>
    </w:p>
    <w:p w14:paraId="7686B8A0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Valorização da obtenção de graus e títulos académicos no período em apreciação;</w:t>
      </w:r>
    </w:p>
    <w:p w14:paraId="2965D3C1" w14:textId="77777777" w:rsidR="00FE2BEB" w:rsidRPr="00DE2E77" w:rsidRDefault="006E09A9" w:rsidP="008D4FAF">
      <w:pPr>
        <w:pStyle w:val="PargrafodaLista"/>
        <w:numPr>
          <w:ilvl w:val="0"/>
          <w:numId w:val="12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Consideração dos relatórios produzidos em cumprimento das obrigações estatutárias da carreira.</w:t>
      </w:r>
    </w:p>
    <w:p w14:paraId="42794FE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São aplicáveis ao processo de avaliação as garantias de imparcialidade previstas no Código do Procedimento Administrativo.</w:t>
      </w:r>
    </w:p>
    <w:p w14:paraId="42FA507E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5.º</w:t>
      </w:r>
    </w:p>
    <w:p w14:paraId="17EEBEE1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Efeitos da avaliação</w:t>
      </w:r>
    </w:p>
    <w:p w14:paraId="3D1D6DB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A avaliação positiva releva para os efeitos previstos no ECPDESP, designadamente para a contratação por tempo indeterminado de professores adjuntos e para a renovação dos contratos a termo dos docentes não integrados na carreira.</w:t>
      </w:r>
    </w:p>
    <w:p w14:paraId="2D0602BB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avaliação releva para a alteração do posicionamento remuneratório nos termos previstos no ECPDESP, no presente Regulamento e na demais legislação aplicável.</w:t>
      </w:r>
    </w:p>
    <w:p w14:paraId="5AA39B32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caps/>
          <w:szCs w:val="22"/>
        </w:rPr>
      </w:pPr>
      <w:r>
        <w:rPr>
          <w:rFonts w:cs="Arial"/>
          <w:b/>
          <w:caps/>
          <w:szCs w:val="22"/>
        </w:rPr>
        <w:t>CAPÍTULO II</w:t>
      </w:r>
    </w:p>
    <w:p w14:paraId="5185B025" w14:textId="77777777" w:rsidR="00FE2BEB" w:rsidRPr="00DE2E77" w:rsidRDefault="006E09A9" w:rsidP="008D4FAF">
      <w:pPr>
        <w:spacing w:after="240" w:line="360" w:lineRule="auto"/>
        <w:jc w:val="center"/>
        <w:rPr>
          <w:rFonts w:cs="Arial"/>
          <w:caps/>
          <w:szCs w:val="22"/>
        </w:rPr>
      </w:pPr>
      <w:r>
        <w:rPr>
          <w:rFonts w:cs="Arial"/>
          <w:b/>
          <w:caps/>
          <w:szCs w:val="22"/>
        </w:rPr>
        <w:t>Vertentes, perfil e grelha</w:t>
      </w:r>
    </w:p>
    <w:p w14:paraId="10C35343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6.º</w:t>
      </w:r>
    </w:p>
    <w:p w14:paraId="305DE052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Vertentes e ponderações</w:t>
      </w:r>
    </w:p>
    <w:p w14:paraId="1C737F5C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A avaliação incide sobre as atividades efetivamente atribuídas ao docente no período em avaliação, em articulação com o artigo 2.º-A do ECPDESP.</w:t>
      </w:r>
    </w:p>
    <w:p w14:paraId="15E9B089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 — As atividades avaliadas agrupam-se nas seguintes </w:t>
      </w:r>
      <w:r>
        <w:rPr>
          <w:rFonts w:cs="Arial"/>
          <w:szCs w:val="22"/>
        </w:rPr>
        <w:t>vertentes</w:t>
      </w:r>
      <w:r>
        <w:rPr>
          <w:rFonts w:cs="Arial"/>
          <w:szCs w:val="22"/>
        </w:rPr>
        <w:t>:</w:t>
      </w:r>
    </w:p>
    <w:p w14:paraId="41262F84" w14:textId="77777777" w:rsidR="00FE2BEB" w:rsidRPr="00DE2E77" w:rsidRDefault="006E09A9" w:rsidP="008D4FAF">
      <w:pPr>
        <w:pStyle w:val="PargrafodaLista"/>
        <w:numPr>
          <w:ilvl w:val="0"/>
          <w:numId w:val="14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Investigação;</w:t>
      </w:r>
    </w:p>
    <w:p w14:paraId="70F9BA2F" w14:textId="77777777" w:rsidR="00FE2BEB" w:rsidRPr="00DE2E77" w:rsidRDefault="006E09A9" w:rsidP="008D4FAF">
      <w:pPr>
        <w:pStyle w:val="PargrafodaLista"/>
        <w:numPr>
          <w:ilvl w:val="0"/>
          <w:numId w:val="14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Transferência e valorização do conhecimento;</w:t>
      </w:r>
    </w:p>
    <w:p w14:paraId="3768981B" w14:textId="77777777" w:rsidR="00FE2BEB" w:rsidRPr="00DE2E77" w:rsidRDefault="006E09A9" w:rsidP="008D4FAF">
      <w:pPr>
        <w:pStyle w:val="PargrafodaLista"/>
        <w:numPr>
          <w:ilvl w:val="0"/>
          <w:numId w:val="14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Gestão e outras tarefas institucionais;</w:t>
      </w:r>
    </w:p>
    <w:p w14:paraId="42A0278A" w14:textId="77777777" w:rsidR="00FE2BEB" w:rsidRPr="00DE2E77" w:rsidRDefault="006E09A9" w:rsidP="008D4FAF">
      <w:pPr>
        <w:pStyle w:val="PargrafodaLista"/>
        <w:numPr>
          <w:ilvl w:val="0"/>
          <w:numId w:val="14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Docência e formação.</w:t>
      </w:r>
    </w:p>
    <w:p w14:paraId="1519A9E9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As ponderações das vertentes são fixadas, em múltiplos de 5 %, dentro dos seguintes intervalos:</w:t>
      </w:r>
    </w:p>
    <w:p w14:paraId="1497FBC8" w14:textId="77777777" w:rsidR="00FE2BEB" w:rsidRPr="00DE2E77" w:rsidRDefault="006E09A9" w:rsidP="008D4FAF">
      <w:pPr>
        <w:pStyle w:val="PargrafodaLista"/>
        <w:numPr>
          <w:ilvl w:val="0"/>
          <w:numId w:val="15"/>
        </w:numPr>
        <w:spacing w:before="120" w:after="0" w:line="360" w:lineRule="auto"/>
        <w:ind w:left="850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Vertente de investigação: 30 % a 70 %;</w:t>
      </w:r>
    </w:p>
    <w:p w14:paraId="25A2DA9C" w14:textId="77777777" w:rsidR="00FE2BEB" w:rsidRPr="00DE2E77" w:rsidRDefault="006E09A9" w:rsidP="008D4FAF">
      <w:pPr>
        <w:pStyle w:val="PargrafodaLista"/>
        <w:numPr>
          <w:ilvl w:val="0"/>
          <w:numId w:val="15"/>
        </w:numPr>
        <w:spacing w:before="120" w:after="0" w:line="360" w:lineRule="auto"/>
        <w:ind w:left="850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Vertente de transferência e valorização do conhecimento: 5 % a 30 %;</w:t>
      </w:r>
    </w:p>
    <w:p w14:paraId="73A959ED" w14:textId="77777777" w:rsidR="00FE2BEB" w:rsidRPr="00DE2E77" w:rsidRDefault="006E09A9" w:rsidP="008D4FAF">
      <w:pPr>
        <w:pStyle w:val="PargrafodaLista"/>
        <w:numPr>
          <w:ilvl w:val="0"/>
          <w:numId w:val="15"/>
        </w:numPr>
        <w:spacing w:before="120" w:after="0" w:line="360" w:lineRule="auto"/>
        <w:ind w:left="850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Vertente de gestão e outras tarefas institucionais: 5 % a 30 %;</w:t>
      </w:r>
    </w:p>
    <w:p w14:paraId="42EBCF56" w14:textId="02B6976A" w:rsidR="00FE2BEB" w:rsidRPr="00DE2E77" w:rsidRDefault="006E09A9" w:rsidP="008D4FAF">
      <w:pPr>
        <w:pStyle w:val="PargrafodaLista"/>
        <w:numPr>
          <w:ilvl w:val="0"/>
          <w:numId w:val="15"/>
        </w:numPr>
        <w:spacing w:before="120" w:after="0" w:line="360" w:lineRule="auto"/>
        <w:ind w:left="850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Vertente de docência e formação: 30 % a 70 %</w:t>
      </w:r>
      <w:r>
        <w:rPr>
          <w:rFonts w:asciiTheme="minorHAnsi" w:hAnsiTheme="minorHAnsi" w:cstheme="minorHAnsi"/>
        </w:rPr>
        <w:t>.</w:t>
      </w:r>
    </w:p>
    <w:p w14:paraId="6B7DE1F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A atribuição de ponderação de 0 % às vertentes previstas nas alíneas b) e c) do número anterior é excecional e apenas admissível quando a vertente não integre o perfil funcional de avaliação, não constituindo a mera ausência de realizações no período fundamento para a redução retroativa da respetiva ponderação.</w:t>
      </w:r>
    </w:p>
    <w:p w14:paraId="5753BF9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5 — A ponderação de 0 % depende de fundamentação expressa no perfil de avaliação, acordada </w:t>
      </w:r>
      <w:r>
        <w:rPr>
          <w:rFonts w:cs="Arial"/>
          <w:szCs w:val="22"/>
        </w:rPr>
        <w:t>entre o avaliador e o avaliado</w:t>
      </w:r>
      <w:r>
        <w:rPr>
          <w:rFonts w:cs="Arial"/>
          <w:szCs w:val="22"/>
        </w:rPr>
        <w:t xml:space="preserve"> nos termos do artigo 7.º, e de validação pelo Conselho Científico competente.</w:t>
      </w:r>
    </w:p>
    <w:p w14:paraId="42EACB1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6 — A grelha de avaliação identifica os parâmetros, os indicadores e as pontuações aplicáveis a cada vertente.</w:t>
      </w:r>
    </w:p>
    <w:p w14:paraId="447D2DA2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7 — A obtenção das pontuações mais elevadas em cada </w:t>
      </w:r>
      <w:r>
        <w:rPr>
          <w:rFonts w:cs="Arial"/>
          <w:szCs w:val="22"/>
        </w:rPr>
        <w:t>vertente</w:t>
      </w:r>
      <w:r>
        <w:rPr>
          <w:rFonts w:cs="Arial"/>
          <w:szCs w:val="22"/>
        </w:rPr>
        <w:t xml:space="preserve"> não exige o desempenho cumulativo de todas as atividades tipificadas na grelha.</w:t>
      </w:r>
    </w:p>
    <w:p w14:paraId="4148F14A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8 — Quando, por motivo legalmente previsto, não tenha sido atribuído serviço docente ao avaliado durante o período em avaliação, não é aplicável o mínimo previsto na alínea d) do n.º 3, considerando-se as vertentes efetivamente exercidas, sem prejuízo do disposto no artigo 25.º.</w:t>
      </w:r>
    </w:p>
    <w:p w14:paraId="114C6D41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7.º</w:t>
      </w:r>
    </w:p>
    <w:p w14:paraId="3C082271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Perfil de avaliação</w:t>
      </w:r>
    </w:p>
    <w:p w14:paraId="1F1E1C00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O perfil de avaliação é fixado no início de cada ciclo avaliativo.</w:t>
      </w:r>
    </w:p>
    <w:p w14:paraId="6124E265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 — O perfil resulta de acordo </w:t>
      </w:r>
      <w:r>
        <w:rPr>
          <w:rFonts w:cs="Arial"/>
          <w:szCs w:val="22"/>
        </w:rPr>
        <w:t>entre o avaliador e o avaliado</w:t>
      </w:r>
      <w:r>
        <w:rPr>
          <w:rFonts w:cs="Arial"/>
          <w:szCs w:val="22"/>
        </w:rPr>
        <w:t>.</w:t>
      </w:r>
    </w:p>
    <w:p w14:paraId="5F0E37F2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fixação do perfil atende:</w:t>
      </w:r>
    </w:p>
    <w:p w14:paraId="3F853766" w14:textId="77777777" w:rsidR="00FE2BEB" w:rsidRPr="00DE2E77" w:rsidRDefault="006E09A9" w:rsidP="008D4FAF">
      <w:pPr>
        <w:pStyle w:val="PargrafodaLista"/>
        <w:numPr>
          <w:ilvl w:val="0"/>
          <w:numId w:val="17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Às funções atribuídas ao docente;</w:t>
      </w:r>
    </w:p>
    <w:p w14:paraId="74AB20E3" w14:textId="77777777" w:rsidR="00FE2BEB" w:rsidRPr="00DE2E77" w:rsidRDefault="006E09A9" w:rsidP="008D4FAF">
      <w:pPr>
        <w:pStyle w:val="PargrafodaLista"/>
        <w:numPr>
          <w:ilvl w:val="0"/>
          <w:numId w:val="17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À especificidade da área disciplinar;</w:t>
      </w:r>
    </w:p>
    <w:p w14:paraId="6419A6B0" w14:textId="77777777" w:rsidR="00FE2BEB" w:rsidRPr="00DE2E77" w:rsidRDefault="006E09A9" w:rsidP="008D4FAF">
      <w:pPr>
        <w:pStyle w:val="PargrafodaLista"/>
        <w:numPr>
          <w:ilvl w:val="0"/>
          <w:numId w:val="17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Ao plano estratégico </w:t>
      </w:r>
      <w:r>
        <w:rPr>
          <w:rFonts w:ascii="Arial" w:hAnsi="Arial"/>
        </w:rPr>
        <w:t>da UPSantarém</w:t>
      </w:r>
      <w:r>
        <w:rPr>
          <w:rFonts w:ascii="Arial" w:hAnsi="Arial"/>
        </w:rPr>
        <w:t>;</w:t>
      </w:r>
    </w:p>
    <w:p w14:paraId="471CA273" w14:textId="77777777" w:rsidR="00FE2BEB" w:rsidRPr="00DE2E77" w:rsidRDefault="006E09A9" w:rsidP="008D4FAF">
      <w:pPr>
        <w:pStyle w:val="PargrafodaLista"/>
        <w:numPr>
          <w:ilvl w:val="0"/>
          <w:numId w:val="17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Ao plano estratégico da Escola;</w:t>
      </w:r>
    </w:p>
    <w:p w14:paraId="309100ED" w14:textId="77777777" w:rsidR="00FE2BEB" w:rsidRPr="00DE2E77" w:rsidRDefault="006E09A9" w:rsidP="008D4FAF">
      <w:pPr>
        <w:pStyle w:val="PargrafodaLista"/>
        <w:numPr>
          <w:ilvl w:val="0"/>
          <w:numId w:val="17"/>
        </w:numPr>
        <w:spacing w:before="120" w:after="0" w:line="360" w:lineRule="auto"/>
        <w:ind w:left="850" w:hanging="425"/>
        <w:contextualSpacing w:val="0"/>
        <w:jc w:val="both"/>
      </w:pPr>
      <w:r>
        <w:rPr>
          <w:rFonts w:ascii="Arial" w:hAnsi="Arial"/>
        </w:rPr>
        <w:t>À distribuição de serviço docente aprovada</w:t>
      </w:r>
      <w:r>
        <w:t>.</w:t>
      </w:r>
    </w:p>
    <w:p w14:paraId="45DD5432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4 — Em situações especiais devidamente fundamentadas, o perfil pode conferir ponderação predominante a duas ou três </w:t>
      </w:r>
      <w:r>
        <w:rPr>
          <w:rFonts w:cs="Arial"/>
          <w:szCs w:val="22"/>
        </w:rPr>
        <w:t>vertentes</w:t>
      </w:r>
      <w:r>
        <w:rPr>
          <w:rFonts w:cs="Arial"/>
          <w:szCs w:val="22"/>
        </w:rPr>
        <w:t>, sem prejuízo da consideração de todas as vertentes da atividade docente que tenham estado efetivamente afetas ao avaliado.</w:t>
      </w:r>
    </w:p>
    <w:p w14:paraId="56F3E2AC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5 — Podem ser fixados perfis específicos para titulares de cargos de coordenação e gestão não abrangidos pelo n.º 2 do artigo 2.º e para docentes em regime de tempo parcial.</w:t>
      </w:r>
    </w:p>
    <w:p w14:paraId="654BB886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6 — O plano de trabalho e o perfil de avaliação são reduzidos a escrito e comunicados à área disciplinar e ao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.</w:t>
      </w:r>
    </w:p>
    <w:p w14:paraId="24F2D6E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7 — Na falta de acordo entre o avaliador e o avaliado, o perfil é fixado pelo Conselho Científico, mediante </w:t>
      </w:r>
      <w:r>
        <w:rPr>
          <w:rFonts w:cs="Arial"/>
          <w:szCs w:val="22"/>
        </w:rPr>
        <w:t>proposta fundamentada do avaliador</w:t>
      </w:r>
      <w:r>
        <w:rPr>
          <w:rFonts w:cs="Arial"/>
          <w:szCs w:val="22"/>
        </w:rPr>
        <w:t xml:space="preserve"> e audição prévia do avaliado.</w:t>
      </w:r>
    </w:p>
    <w:p w14:paraId="132C31AB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8 — A decisão prevista no número anterior não prejudica a apreciação da matéria em sede de reclamação ou impugnação da avaliação final.</w:t>
      </w:r>
    </w:p>
    <w:p w14:paraId="217A325B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8.º</w:t>
      </w:r>
    </w:p>
    <w:p w14:paraId="67EAA09A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Grelha de avaliação</w:t>
      </w:r>
    </w:p>
    <w:p w14:paraId="2F202217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A grelha de avaliação constitui instrumento complementar de execução do presente Regulamento, </w:t>
      </w:r>
      <w:r>
        <w:rPr>
          <w:rFonts w:cs="Arial"/>
          <w:szCs w:val="22"/>
        </w:rPr>
        <w:t xml:space="preserve">é </w:t>
      </w:r>
      <w:r>
        <w:rPr>
          <w:rFonts w:cs="Arial"/>
          <w:szCs w:val="22"/>
        </w:rPr>
        <w:t>identificad</w:t>
      </w:r>
      <w:r>
        <w:rPr>
          <w:rFonts w:cs="Arial"/>
          <w:szCs w:val="22"/>
        </w:rPr>
        <w:t>a c</w:t>
      </w:r>
      <w:r>
        <w:rPr>
          <w:rFonts w:cs="Arial"/>
          <w:szCs w:val="22"/>
        </w:rPr>
        <w:t>o</w:t>
      </w:r>
      <w:r>
        <w:rPr>
          <w:rFonts w:cs="Arial"/>
          <w:szCs w:val="22"/>
        </w:rPr>
        <w:t>mo Anexo I e é aprovada</w:t>
      </w:r>
      <w:r>
        <w:rPr>
          <w:rFonts w:cs="Arial"/>
          <w:szCs w:val="22"/>
        </w:rPr>
        <w:t xml:space="preserve"> e publicitad</w:t>
      </w:r>
      <w:r>
        <w:rPr>
          <w:rFonts w:cs="Arial"/>
          <w:szCs w:val="22"/>
        </w:rPr>
        <w:t>a autonomamente, por despach</w:t>
      </w:r>
      <w:r>
        <w:rPr>
          <w:rFonts w:cs="Arial"/>
          <w:szCs w:val="22"/>
        </w:rPr>
        <w:t xml:space="preserve">o </w:t>
      </w:r>
      <w:r>
        <w:rPr>
          <w:rFonts w:cs="Arial"/>
          <w:szCs w:val="22"/>
        </w:rPr>
        <w:t>d</w:t>
      </w:r>
      <w:r>
        <w:rPr>
          <w:rFonts w:cs="Arial"/>
          <w:szCs w:val="22"/>
        </w:rPr>
        <w:t xml:space="preserve">o </w:t>
      </w:r>
      <w:r>
        <w:rPr>
          <w:rFonts w:cs="Arial"/>
          <w:szCs w:val="22"/>
        </w:rPr>
        <w:t>Reitor da UPSa</w:t>
      </w:r>
      <w:r>
        <w:rPr>
          <w:rFonts w:cs="Arial"/>
          <w:szCs w:val="22"/>
        </w:rPr>
        <w:t>n</w:t>
      </w:r>
      <w:r>
        <w:rPr>
          <w:rFonts w:cs="Arial"/>
          <w:szCs w:val="22"/>
        </w:rPr>
        <w:t>tarém, ant</w:t>
      </w:r>
      <w:r>
        <w:rPr>
          <w:rFonts w:cs="Arial"/>
          <w:szCs w:val="22"/>
        </w:rPr>
        <w:t>e</w:t>
      </w:r>
      <w:r>
        <w:rPr>
          <w:rFonts w:cs="Arial"/>
          <w:szCs w:val="22"/>
        </w:rPr>
        <w:t>s d</w:t>
      </w:r>
      <w:r>
        <w:rPr>
          <w:rFonts w:cs="Arial"/>
          <w:szCs w:val="22"/>
        </w:rPr>
        <w:t xml:space="preserve">o </w:t>
      </w:r>
      <w:r>
        <w:rPr>
          <w:rFonts w:cs="Arial"/>
          <w:szCs w:val="22"/>
        </w:rPr>
        <w:t>início de cada ciclo de avaliação</w:t>
      </w:r>
      <w:r>
        <w:rPr>
          <w:rFonts w:cs="Arial"/>
          <w:szCs w:val="22"/>
        </w:rPr>
        <w:t>.</w:t>
      </w:r>
    </w:p>
    <w:p w14:paraId="7EC8A6A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grelha integra, pelo menos:</w:t>
      </w:r>
    </w:p>
    <w:p w14:paraId="72ADDD0F" w14:textId="77777777" w:rsidR="00FE2BEB" w:rsidRPr="00DE2E77" w:rsidRDefault="006E09A9" w:rsidP="008D4FAF">
      <w:pPr>
        <w:pStyle w:val="PargrafodaLista"/>
        <w:numPr>
          <w:ilvl w:val="0"/>
          <w:numId w:val="19"/>
        </w:numPr>
        <w:spacing w:before="120" w:line="360" w:lineRule="auto"/>
        <w:ind w:left="851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 vertentes e os parâmetros de avaliação;</w:t>
      </w:r>
    </w:p>
    <w:p w14:paraId="13066F7B" w14:textId="77777777" w:rsidR="00FE2BEB" w:rsidRPr="00DE2E77" w:rsidRDefault="006E09A9" w:rsidP="008D4FAF">
      <w:pPr>
        <w:pStyle w:val="PargrafodaLista"/>
        <w:numPr>
          <w:ilvl w:val="0"/>
          <w:numId w:val="19"/>
        </w:numPr>
        <w:spacing w:before="120" w:line="360" w:lineRule="auto"/>
        <w:ind w:left="851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 indicadores avaliáveis e as unidades de contagem;</w:t>
      </w:r>
    </w:p>
    <w:p w14:paraId="78EF6BDD" w14:textId="77777777" w:rsidR="00FE2BEB" w:rsidRPr="00DE2E77" w:rsidRDefault="006E09A9" w:rsidP="008D4FAF">
      <w:pPr>
        <w:pStyle w:val="PargrafodaLista"/>
        <w:numPr>
          <w:ilvl w:val="0"/>
          <w:numId w:val="19"/>
        </w:numPr>
        <w:spacing w:before="120" w:line="360" w:lineRule="auto"/>
        <w:ind w:left="851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Os pontos base, as bonificações e penalizações e os tetos por indicador;</w:t>
      </w:r>
    </w:p>
    <w:p w14:paraId="140A079B" w14:textId="77777777" w:rsidR="00FE2BEB" w:rsidRPr="00DE2E77" w:rsidRDefault="006E09A9" w:rsidP="008D4FAF">
      <w:pPr>
        <w:pStyle w:val="PargrafodaLista"/>
        <w:numPr>
          <w:ilvl w:val="0"/>
          <w:numId w:val="19"/>
        </w:numPr>
        <w:spacing w:before="120" w:line="360" w:lineRule="auto"/>
        <w:ind w:left="851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 ponderações dos parâmetros e as pontuações de referência</w:t>
      </w:r>
      <w:r>
        <w:rPr>
          <w:rFonts w:asciiTheme="minorHAnsi" w:hAnsiTheme="minorHAnsi" w:cstheme="minorHAnsi"/>
        </w:rPr>
        <w:t xml:space="preserve"> aplicáveis ao ciclo</w:t>
      </w:r>
      <w:r>
        <w:rPr>
          <w:rFonts w:asciiTheme="minorHAnsi" w:hAnsiTheme="minorHAnsi" w:cstheme="minorHAnsi"/>
        </w:rPr>
        <w:t>;</w:t>
      </w:r>
    </w:p>
    <w:p w14:paraId="5FD284C5" w14:textId="77777777" w:rsidR="00FE2BEB" w:rsidRPr="00DE2E77" w:rsidRDefault="006E09A9" w:rsidP="008D4FAF">
      <w:pPr>
        <w:pStyle w:val="PargrafodaLista"/>
        <w:numPr>
          <w:ilvl w:val="0"/>
          <w:numId w:val="19"/>
        </w:numPr>
        <w:spacing w:before="120" w:line="360" w:lineRule="auto"/>
        <w:ind w:left="851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 fontes de verificação;</w:t>
      </w:r>
    </w:p>
    <w:p w14:paraId="2A3C7400" w14:textId="77777777" w:rsidR="00FE2BEB" w:rsidRPr="00DE2E77" w:rsidRDefault="006E09A9" w:rsidP="008D4FAF">
      <w:pPr>
        <w:pStyle w:val="PargrafodaLista"/>
        <w:numPr>
          <w:ilvl w:val="0"/>
          <w:numId w:val="19"/>
        </w:numPr>
        <w:spacing w:before="120" w:line="360" w:lineRule="auto"/>
        <w:ind w:left="851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As fórmulas e regras de cálculo, incluindo a regra de conversão das pontuações em classificações parciais;</w:t>
      </w:r>
    </w:p>
    <w:p w14:paraId="6C3AF632" w14:textId="77777777" w:rsidR="00FE2BEB" w:rsidRPr="00DE2E77" w:rsidRDefault="006E09A9" w:rsidP="008D4FAF">
      <w:pPr>
        <w:pStyle w:val="PargrafodaLista"/>
        <w:numPr>
          <w:ilvl w:val="0"/>
          <w:numId w:val="19"/>
        </w:numPr>
        <w:spacing w:before="120" w:line="360" w:lineRule="auto"/>
        <w:ind w:left="851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As regras destinadas a evitar dupla valoração da mesma atividade.</w:t>
      </w:r>
    </w:p>
    <w:p w14:paraId="2D03BFF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A grelha é aprovada por despacho do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 xml:space="preserve">r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 xml:space="preserve">, sob </w:t>
      </w:r>
      <w:r>
        <w:rPr>
          <w:rFonts w:cs="Arial"/>
          <w:szCs w:val="22"/>
        </w:rPr>
        <w:t>delibe</w:t>
      </w:r>
      <w:r>
        <w:rPr>
          <w:rFonts w:cs="Arial"/>
          <w:szCs w:val="22"/>
        </w:rPr>
        <w:t>r</w:t>
      </w:r>
      <w:r>
        <w:rPr>
          <w:rFonts w:cs="Arial"/>
          <w:szCs w:val="22"/>
        </w:rPr>
        <w:t>açã</w:t>
      </w:r>
      <w:r>
        <w:rPr>
          <w:rFonts w:cs="Arial"/>
          <w:szCs w:val="22"/>
        </w:rPr>
        <w:t>o do Conselho Coordenador de Avaliação do Desempenho do Pessoal Docente</w:t>
      </w:r>
      <w:r>
        <w:rPr>
          <w:rFonts w:cs="Arial"/>
          <w:szCs w:val="22"/>
        </w:rPr>
        <w:t>, e publicada como Anexo I ao respetivo despacho</w:t>
      </w:r>
      <w:r>
        <w:rPr>
          <w:rFonts w:cs="Arial"/>
          <w:szCs w:val="22"/>
        </w:rPr>
        <w:t>.</w:t>
      </w:r>
    </w:p>
    <w:p w14:paraId="265D6F7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4 — As ponderações dos parâmetros e as pontuações de referência são fixadas, para cada ciclo de avaliação, pelo Conselho Coordenador de Avaliação do Desempenho do Pessoal Docente, segundo metodologia de calibração </w:t>
      </w:r>
      <w:r>
        <w:rPr>
          <w:rFonts w:cs="Arial"/>
          <w:szCs w:val="22"/>
        </w:rPr>
        <w:t>previamente aprovada, podendo, quando existam fundamentos objetivos previamente definidos, ser diferenciadas por grupos de atividade ou domínios científicos, constando</w:t>
      </w:r>
      <w:r>
        <w:rPr>
          <w:rFonts w:cs="Arial"/>
          <w:szCs w:val="22"/>
        </w:rPr>
        <w:t xml:space="preserve"> da grelha referida no número anterior e sendo publicitadas antes do início do período avaliativo a que respeitam.</w:t>
      </w:r>
    </w:p>
    <w:p w14:paraId="03E864D7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5</w:t>
      </w:r>
      <w:r>
        <w:rPr>
          <w:rFonts w:cs="Arial"/>
          <w:szCs w:val="22"/>
        </w:rPr>
        <w:t xml:space="preserve"> — A aprovação e a alteração da grelha são precedidas da audição dos </w:t>
      </w:r>
      <w:r>
        <w:rPr>
          <w:rFonts w:cs="Arial"/>
          <w:szCs w:val="22"/>
        </w:rPr>
        <w:t xml:space="preserve">Conselhos Científicos</w:t>
      </w:r>
      <w:r>
        <w:rPr>
          <w:rFonts w:cs="Arial"/>
          <w:szCs w:val="22"/>
        </w:rPr>
        <w:t xml:space="preserve">, dos Conselhos Pedagógicos e do Conselho Académico, no âmbito das respetivas competências legais e estatutárias.</w:t>
      </w:r>
    </w:p>
    <w:p w14:paraId="0571341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6</w:t>
      </w:r>
      <w:r>
        <w:rPr>
          <w:rFonts w:cs="Arial"/>
          <w:szCs w:val="22"/>
        </w:rPr>
        <w:t xml:space="preserve"> — A grelha mantém-se em vigor nos ciclos subsequentes, sendo as suas eventuais atualizações, precedidas da apreciação prevista no n.º 2 do artigo 32.º, aprovadas e publicitadas antes do início do período avaliativo a que respeitam.</w:t>
      </w:r>
    </w:p>
    <w:p w14:paraId="62E93C96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7</w:t>
      </w:r>
      <w:r>
        <w:rPr>
          <w:rFonts w:cs="Arial"/>
          <w:szCs w:val="22"/>
        </w:rPr>
        <w:t xml:space="preserve"> — Os </w:t>
      </w:r>
      <w:r>
        <w:rPr>
          <w:rFonts w:cs="Arial"/>
          <w:szCs w:val="22"/>
        </w:rPr>
        <w:t xml:space="preserve">Conselhos Científicos</w:t>
      </w:r>
      <w:r>
        <w:rPr>
          <w:rFonts w:cs="Arial"/>
          <w:szCs w:val="22"/>
        </w:rPr>
        <w:t xml:space="preserve"> podem propor adaptações da grelha às especificidades da unidade orgânica, da área científica ou da área disciplinar.</w:t>
      </w:r>
    </w:p>
    <w:p w14:paraId="28C6309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8</w:t>
      </w:r>
      <w:r>
        <w:rPr>
          <w:rFonts w:cs="Arial"/>
          <w:szCs w:val="22"/>
        </w:rPr>
        <w:t xml:space="preserve"> — As adaptações previstas no número anterior são fundamentadas e limitam-se ao estritamente necessário.</w:t>
      </w:r>
    </w:p>
    <w:p w14:paraId="5642F27C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9</w:t>
      </w:r>
      <w:r>
        <w:rPr>
          <w:rFonts w:cs="Arial"/>
          <w:szCs w:val="22"/>
        </w:rPr>
        <w:t xml:space="preserve"> — As adaptações não podem contrariar a grelha aprovada, alterar </w:t>
      </w:r>
      <w:r>
        <w:rPr>
          <w:rFonts w:cs="Arial"/>
          <w:szCs w:val="22"/>
        </w:rPr>
        <w:t>pontos base, tetos, pontuações de referência, ponderações, fórmulas ou critérios de base</w:t>
      </w:r>
      <w:r>
        <w:rPr>
          <w:rFonts w:cs="Arial"/>
          <w:szCs w:val="22"/>
        </w:rPr>
        <w:t>, nem criar assimetrias materiais injustificadas entre Escolas.</w:t>
      </w:r>
    </w:p>
    <w:p w14:paraId="615D72E2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9.º</w:t>
      </w:r>
    </w:p>
    <w:p w14:paraId="590D4142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Escala e menções</w:t>
      </w:r>
    </w:p>
    <w:p w14:paraId="6C8D7629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A avaliação é expressa numa escala quantitativa de </w:t>
      </w:r>
      <w:r>
        <w:rPr>
          <w:rFonts w:cs="Arial"/>
          <w:szCs w:val="22"/>
        </w:rPr>
        <w:t>1 a 5</w:t>
      </w:r>
      <w:r>
        <w:rPr>
          <w:rFonts w:cs="Arial"/>
          <w:szCs w:val="22"/>
        </w:rPr>
        <w:t>.</w:t>
      </w:r>
    </w:p>
    <w:p w14:paraId="09FB0666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pontuação obtida em cada parâmetro (P) é convertida numa classificação parcial (Cp), de 1 a 5, por comparação com a respetiva pontuação de referência (PR), nos seguintes termos:</w:t>
      </w:r>
    </w:p>
    <w:p w14:paraId="7E312223" w14:textId="77777777" w:rsidR="00FE2BEB" w:rsidRPr="00DE2E77" w:rsidRDefault="006E09A9" w:rsidP="008D4FAF">
      <w:pPr>
        <w:pStyle w:val="PargrafodaLista"/>
        <w:numPr>
          <w:ilvl w:val="0"/>
          <w:numId w:val="21"/>
        </w:numPr>
        <w:spacing w:before="12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Cp 5, quando P ≥ 2 × PR;</w:t>
      </w:r>
    </w:p>
    <w:p w14:paraId="3DF78390" w14:textId="77777777" w:rsidR="00FE2BEB" w:rsidRPr="00DE2E77" w:rsidRDefault="006E09A9" w:rsidP="008D4FAF">
      <w:pPr>
        <w:pStyle w:val="PargrafodaLista"/>
        <w:numPr>
          <w:ilvl w:val="0"/>
          <w:numId w:val="21"/>
        </w:numPr>
        <w:spacing w:before="12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Cp 4, quando 1,5 × PR ≤ P &lt; 2 × PR;</w:t>
      </w:r>
    </w:p>
    <w:p w14:paraId="5B7F060D" w14:textId="77777777" w:rsidR="00FE2BEB" w:rsidRPr="00DE2E77" w:rsidRDefault="006E09A9" w:rsidP="008D4FAF">
      <w:pPr>
        <w:pStyle w:val="PargrafodaLista"/>
        <w:numPr>
          <w:ilvl w:val="0"/>
          <w:numId w:val="21"/>
        </w:numPr>
        <w:spacing w:before="12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Cp 3, quando PR ≤ P &lt; 1,5 × PR;</w:t>
      </w:r>
    </w:p>
    <w:p w14:paraId="3317F94A" w14:textId="77777777" w:rsidR="00FE2BEB" w:rsidRPr="00DE2E77" w:rsidRDefault="006E09A9" w:rsidP="008D4FAF">
      <w:pPr>
        <w:pStyle w:val="PargrafodaLista"/>
        <w:numPr>
          <w:ilvl w:val="0"/>
          <w:numId w:val="21"/>
        </w:numPr>
        <w:spacing w:before="12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Cp 2, quando 0,5 × PR ≤ P &lt; PR;</w:t>
      </w:r>
    </w:p>
    <w:p w14:paraId="698ACC73" w14:textId="77777777" w:rsidR="00FE2BEB" w:rsidRPr="00DE2E77" w:rsidRDefault="006E09A9" w:rsidP="008D4FAF">
      <w:pPr>
        <w:pStyle w:val="PargrafodaLista"/>
        <w:numPr>
          <w:ilvl w:val="0"/>
          <w:numId w:val="21"/>
        </w:numPr>
        <w:spacing w:before="12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Cp 1, quando P &lt; 0,5 × PR.</w:t>
      </w:r>
    </w:p>
    <w:p w14:paraId="0CD240E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classificação de cada vertente corresponde à média das classificações parciais (Cp) dos respetivos parâmetros, ponderada nos termos da grelha; a classificação final (CF) corresponde à média das classificações das vertentes, ponderada de acordo com o perfil de avaliação, e é arredondada às centésimas.</w:t>
      </w:r>
    </w:p>
    <w:p w14:paraId="7910B1A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A classificação final corresponde às seguintes menções qualitativas:</w:t>
      </w:r>
    </w:p>
    <w:p w14:paraId="107D89A1" w14:textId="77777777" w:rsidR="00FE2BEB" w:rsidRPr="00DE2E77" w:rsidRDefault="006E09A9" w:rsidP="008D4FAF">
      <w:pPr>
        <w:pStyle w:val="PargrafodaLista"/>
        <w:spacing w:before="120" w:line="360" w:lineRule="auto"/>
        <w:ind w:left="709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a) Excelente: CF igual ou superior a 4,5;</w:t>
      </w:r>
    </w:p>
    <w:p w14:paraId="3B158D20" w14:textId="77777777" w:rsidR="00FE2BEB" w:rsidRPr="00DE2E77" w:rsidRDefault="006E09A9" w:rsidP="008D4FAF">
      <w:pPr>
        <w:pStyle w:val="PargrafodaLista"/>
        <w:spacing w:before="120" w:line="360" w:lineRule="auto"/>
        <w:ind w:left="709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b) Relevante: CF igual ou superior a 3,5 e inferior a 4,5;</w:t>
      </w:r>
    </w:p>
    <w:p w14:paraId="44D3E1D6" w14:textId="77777777" w:rsidR="00FE2BEB" w:rsidRPr="00DE2E77" w:rsidRDefault="006E09A9" w:rsidP="008D4FAF">
      <w:pPr>
        <w:pStyle w:val="PargrafodaLista"/>
        <w:spacing w:before="120" w:line="360" w:lineRule="auto"/>
        <w:ind w:left="709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c) Regular: CF igual ou superior a 2,5 e inferior a 3,5;</w:t>
      </w:r>
    </w:p>
    <w:p w14:paraId="0F8BA716" w14:textId="77777777" w:rsidR="00FE2BEB" w:rsidRPr="00DE2E77" w:rsidRDefault="006E09A9" w:rsidP="008D4FAF">
      <w:pPr>
        <w:pStyle w:val="PargrafodaLista"/>
        <w:spacing w:before="120" w:line="360" w:lineRule="auto"/>
        <w:ind w:left="709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d) Insuficiente: CF inferior a 2,5.</w:t>
      </w:r>
    </w:p>
    <w:p w14:paraId="39C35A2F" w14:textId="77777777" w:rsidR="000A0488" w:rsidRPr="00DE2E77" w:rsidRDefault="00FC370D" w:rsidP="008D4FAF">
      <w:pPr>
        <w:spacing w:line="360" w:lineRule="auto"/>
      </w:pPr>
      <w:r>
        <w:rPr/>
        <w:t>5 — Para efeitos do presente Regulamento, consideram-se positivas as menções de Regular, Relevante e Excelente e negativa a menção de Insuficiente.</w:t>
      </w:r>
    </w:p>
    <w:p w14:paraId="16678FCC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CAPÍTULO III</w:t>
      </w:r>
    </w:p>
    <w:p w14:paraId="1E044CF8" w14:textId="77777777" w:rsidR="00FE2BEB" w:rsidRPr="00DE2E77" w:rsidRDefault="006E09A9" w:rsidP="008D4FAF">
      <w:pPr>
        <w:spacing w:after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Intervenientes</w:t>
      </w:r>
    </w:p>
    <w:p w14:paraId="260980FD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10.º</w:t>
      </w:r>
    </w:p>
    <w:p w14:paraId="55A63AE8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Intervenientes</w:t>
      </w:r>
    </w:p>
    <w:p w14:paraId="652EBDA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Intervêm no processo de avaliação:</w:t>
      </w:r>
    </w:p>
    <w:p w14:paraId="4D2FAF86" w14:textId="77777777" w:rsidR="00FE2BEB" w:rsidRPr="00DE2E77" w:rsidRDefault="006E09A9" w:rsidP="008D4FAF">
      <w:pPr>
        <w:pStyle w:val="PargrafodaLista"/>
        <w:numPr>
          <w:ilvl w:val="0"/>
          <w:numId w:val="23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 Conselho Coordenador de Avaliação do Desempenho do Pessoal Docente;</w:t>
      </w:r>
    </w:p>
    <w:p w14:paraId="396D966D" w14:textId="77777777" w:rsidR="00FE2BEB" w:rsidRPr="00DE2E77" w:rsidRDefault="006E09A9" w:rsidP="008D4FAF">
      <w:pPr>
        <w:pStyle w:val="PargrafodaLista"/>
        <w:numPr>
          <w:ilvl w:val="0"/>
          <w:numId w:val="23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 Conselho Académico, através das secções estatutariamente competentes;</w:t>
      </w:r>
    </w:p>
    <w:p w14:paraId="3C3098E8" w14:textId="77777777" w:rsidR="00FE2BEB" w:rsidRPr="00DE2E77" w:rsidRDefault="006E09A9" w:rsidP="008D4FAF">
      <w:pPr>
        <w:pStyle w:val="PargrafodaLista"/>
        <w:numPr>
          <w:ilvl w:val="0"/>
          <w:numId w:val="23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Os </w:t>
      </w:r>
      <w:r>
        <w:rPr>
          <w:rFonts w:ascii="Arial" w:hAnsi="Arial"/>
        </w:rPr>
        <w:t xml:space="preserve">Conselhos Científicos</w:t>
      </w:r>
      <w:r>
        <w:rPr>
          <w:rFonts w:ascii="Arial" w:hAnsi="Arial"/>
        </w:rPr>
        <w:t xml:space="preserve"> das Escolas;</w:t>
      </w:r>
    </w:p>
    <w:p w14:paraId="2F66D6CC" w14:textId="77777777" w:rsidR="00FE2BEB" w:rsidRPr="00DE2E77" w:rsidRDefault="006E09A9" w:rsidP="008D4FAF">
      <w:pPr>
        <w:pStyle w:val="PargrafodaLista"/>
        <w:numPr>
          <w:ilvl w:val="0"/>
          <w:numId w:val="23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Os Conselhos Pedagógicos das Escolas, nas matérias de natureza pedagógica;</w:t>
      </w:r>
    </w:p>
    <w:p w14:paraId="174B13C6" w14:textId="77777777" w:rsidR="00FE2BEB" w:rsidRPr="00DE2E77" w:rsidRDefault="006E09A9" w:rsidP="008D4FAF">
      <w:pPr>
        <w:pStyle w:val="PargrafodaLista"/>
        <w:numPr>
          <w:ilvl w:val="0"/>
          <w:numId w:val="23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Os avaliadores;</w:t>
      </w:r>
    </w:p>
    <w:p w14:paraId="174B13C6" w14:textId="77777777" w:rsidR="00FE2BEB" w:rsidRPr="00DE2E77" w:rsidRDefault="006E09A9" w:rsidP="008D4FAF">
      <w:pPr>
        <w:pStyle w:val="PargrafodaLista"/>
        <w:numPr>
          <w:ilvl w:val="0"/>
          <w:numId w:val="23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As comissões de harmonização;</w:t>
      </w:r>
    </w:p>
    <w:p w14:paraId="3642473B" w14:textId="77777777" w:rsidR="00FE2BEB" w:rsidRPr="00DE2E77" w:rsidRDefault="006E09A9" w:rsidP="008D4FAF">
      <w:pPr>
        <w:pStyle w:val="PargrafodaLista"/>
        <w:numPr>
          <w:ilvl w:val="0"/>
          <w:numId w:val="23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Os avaliados;</w:t>
      </w:r>
    </w:p>
    <w:p w14:paraId="27B37408" w14:textId="77777777" w:rsidR="00FE2BEB" w:rsidRPr="00DE2E77" w:rsidRDefault="006E09A9" w:rsidP="008D4FAF">
      <w:pPr>
        <w:pStyle w:val="PargrafodaLista"/>
        <w:numPr>
          <w:ilvl w:val="0"/>
          <w:numId w:val="23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O </w:t>
      </w:r>
      <w:r>
        <w:rPr>
          <w:rFonts w:ascii="Arial" w:hAnsi="Arial"/>
        </w:rPr>
        <w:t>Reito</w:t>
      </w:r>
      <w:r>
        <w:rPr>
          <w:rFonts w:ascii="Arial" w:hAnsi="Arial"/>
        </w:rPr>
        <w:t xml:space="preserve">r </w:t>
      </w:r>
      <w:r>
        <w:rPr>
          <w:rFonts w:ascii="Arial" w:hAnsi="Arial"/>
        </w:rPr>
        <w:t>da UPSantarém</w:t>
      </w:r>
      <w:r>
        <w:rPr>
          <w:rFonts w:ascii="Arial" w:hAnsi="Arial"/>
        </w:rPr>
        <w:t>.</w:t>
      </w:r>
    </w:p>
    <w:p w14:paraId="044D8455" w14:textId="77777777" w:rsidR="008D4FAF" w:rsidRDefault="008D4FAF" w:rsidP="008D4FAF">
      <w:pPr>
        <w:spacing w:before="240" w:line="360" w:lineRule="auto"/>
        <w:jc w:val="center"/>
        <w:rPr>
          <w:rFonts w:cs="Arial"/>
          <w:b/>
          <w:szCs w:val="22"/>
        </w:rPr>
      </w:pPr>
    </w:p>
    <w:p w14:paraId="2A772954" w14:textId="5AC2F568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11.º</w:t>
      </w:r>
    </w:p>
    <w:p w14:paraId="38794DDD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Conselho Coordenador de Avaliação do Desempenho do Pessoal Docente</w:t>
      </w:r>
    </w:p>
    <w:p w14:paraId="20ACE2AA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O Conselho Coordenador de Avaliação do Desempenho do Pessoal Docente, abreviadamente designado por CCADPD, integra:</w:t>
      </w:r>
    </w:p>
    <w:p w14:paraId="23806342" w14:textId="77777777" w:rsidR="00FE2BEB" w:rsidRPr="00DE2E77" w:rsidRDefault="006E09A9" w:rsidP="008D4FAF">
      <w:pPr>
        <w:pStyle w:val="PargrafodaLista"/>
        <w:numPr>
          <w:ilvl w:val="0"/>
          <w:numId w:val="25"/>
        </w:numPr>
        <w:spacing w:before="120" w:after="0" w:line="360" w:lineRule="auto"/>
        <w:ind w:hanging="43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O </w:t>
      </w:r>
      <w:r>
        <w:rPr>
          <w:rFonts w:ascii="Arial" w:hAnsi="Arial"/>
        </w:rPr>
        <w:t>Reito</w:t>
      </w:r>
      <w:r>
        <w:rPr>
          <w:rFonts w:ascii="Arial" w:hAnsi="Arial"/>
        </w:rPr>
        <w:t xml:space="preserve">r </w:t>
      </w:r>
      <w:r>
        <w:rPr>
          <w:rFonts w:ascii="Arial" w:hAnsi="Arial"/>
        </w:rPr>
        <w:t>da UPSantarém</w:t>
      </w:r>
      <w:r>
        <w:rPr>
          <w:rFonts w:ascii="Arial" w:hAnsi="Arial"/>
        </w:rPr>
        <w:t>, que preside, ou o Vice-</w:t>
      </w:r>
      <w:r>
        <w:rPr>
          <w:rFonts w:ascii="Arial" w:hAnsi="Arial"/>
        </w:rPr>
        <w:t>Reito</w:t>
      </w:r>
      <w:r>
        <w:rPr>
          <w:rFonts w:ascii="Arial" w:hAnsi="Arial"/>
        </w:rPr>
        <w:t>r com competência delegada na matéria;</w:t>
      </w:r>
    </w:p>
    <w:p w14:paraId="0F6CAA1B" w14:textId="77777777" w:rsidR="00FE2BEB" w:rsidRPr="00DE2E77" w:rsidRDefault="006E09A9" w:rsidP="008D4FAF">
      <w:pPr>
        <w:pStyle w:val="PargrafodaLista"/>
        <w:numPr>
          <w:ilvl w:val="0"/>
          <w:numId w:val="25"/>
        </w:numPr>
        <w:spacing w:before="120" w:after="0" w:line="360" w:lineRule="auto"/>
        <w:ind w:hanging="43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Os Diretores das unidades orgânicas.</w:t>
      </w:r>
    </w:p>
    <w:p w14:paraId="56C67A17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Compete ao CCADPD:</w:t>
      </w:r>
    </w:p>
    <w:p w14:paraId="1746AB9C" w14:textId="77777777" w:rsidR="00FE2BEB" w:rsidRPr="00DE2E77" w:rsidRDefault="006E09A9" w:rsidP="008D4FAF">
      <w:pPr>
        <w:pStyle w:val="PargrafodaLista"/>
        <w:numPr>
          <w:ilvl w:val="0"/>
          <w:numId w:val="27"/>
        </w:numPr>
        <w:spacing w:before="120" w:after="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Emitir diretrizes e orientações gerais para aplicação consistente do sistema;</w:t>
      </w:r>
    </w:p>
    <w:p w14:paraId="0D323EB1" w14:textId="77777777" w:rsidR="00FE2BEB" w:rsidRPr="00DE2E77" w:rsidRDefault="006E09A9" w:rsidP="008D4FAF">
      <w:pPr>
        <w:pStyle w:val="PargrafodaLista"/>
        <w:numPr>
          <w:ilvl w:val="0"/>
          <w:numId w:val="27"/>
        </w:numPr>
        <w:spacing w:before="120" w:after="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Apreciar, nos termos do n.º 2 do artigo 32.º, a necessidade de atualizar a grelha de avaliação e, sendo caso disso, elaborar a respetiva proposta;</w:t>
      </w:r>
    </w:p>
    <w:p w14:paraId="5B9BB68F" w14:textId="77777777" w:rsidR="00FE2BEB" w:rsidRPr="00DE2E77" w:rsidRDefault="006E09A9" w:rsidP="008D4FAF">
      <w:pPr>
        <w:pStyle w:val="PargrafodaLista"/>
        <w:numPr>
          <w:ilvl w:val="0"/>
          <w:numId w:val="27"/>
        </w:numPr>
        <w:spacing w:before="120" w:after="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Emitir parecer sobre propostas de alterações da grelha;</w:t>
      </w:r>
    </w:p>
    <w:p w14:paraId="7FB776DE" w14:textId="77777777" w:rsidR="00FE2BEB" w:rsidRPr="00DE2E77" w:rsidRDefault="006E09A9" w:rsidP="008D4FAF">
      <w:pPr>
        <w:pStyle w:val="PargrafodaLista"/>
        <w:numPr>
          <w:ilvl w:val="0"/>
          <w:numId w:val="27"/>
        </w:numPr>
        <w:spacing w:before="120" w:after="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Definir princípios de harmonização que assegurem o justo equilíbrio na distribuição dos resultados;</w:t>
      </w:r>
    </w:p>
    <w:p w14:paraId="3C582A92" w14:textId="77777777" w:rsidR="00FE2BEB" w:rsidRPr="00DE2E77" w:rsidRDefault="006E09A9" w:rsidP="008D4FAF">
      <w:pPr>
        <w:pStyle w:val="PargrafodaLista"/>
        <w:numPr>
          <w:ilvl w:val="0"/>
          <w:numId w:val="27"/>
        </w:numPr>
        <w:spacing w:before="120" w:after="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Emitir parecer sobre reclamações, nos termos do presente Regulamento;</w:t>
      </w:r>
    </w:p>
    <w:p w14:paraId="1D65E9B3" w14:textId="77777777" w:rsidR="00FE2BEB" w:rsidRPr="00DE2E77" w:rsidRDefault="006E09A9" w:rsidP="008D4FAF">
      <w:pPr>
        <w:pStyle w:val="PargrafodaLista"/>
        <w:numPr>
          <w:ilvl w:val="0"/>
          <w:numId w:val="27"/>
        </w:numPr>
        <w:spacing w:before="120" w:after="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Promover a divulgação de boas práticas no domínio da avaliação;</w:t>
      </w:r>
    </w:p>
    <w:p w14:paraId="69C33684" w14:textId="77777777" w:rsidR="00FE2BEB" w:rsidRPr="00DE2E77" w:rsidRDefault="006E09A9" w:rsidP="008D4FAF">
      <w:pPr>
        <w:pStyle w:val="PargrafodaLista"/>
        <w:numPr>
          <w:ilvl w:val="0"/>
          <w:numId w:val="27"/>
        </w:numPr>
        <w:spacing w:before="120" w:after="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Divulgar a calendarização do processo;</w:t>
      </w:r>
    </w:p>
    <w:p w14:paraId="010F5287" w14:textId="77777777" w:rsidR="00FE2BEB" w:rsidRPr="00DE2E77" w:rsidRDefault="006E09A9" w:rsidP="008D4FAF">
      <w:pPr>
        <w:pStyle w:val="PargrafodaLista"/>
        <w:numPr>
          <w:ilvl w:val="0"/>
          <w:numId w:val="27"/>
        </w:numPr>
        <w:spacing w:before="120" w:after="0" w:line="360" w:lineRule="auto"/>
        <w:ind w:left="1003" w:hanging="357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Avaliar a aplicação do sistema e propor alterações regulamentares.</w:t>
      </w:r>
    </w:p>
    <w:p w14:paraId="43DDC016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O Diretor da unidade orgânica a que pertence o reclamante não participa na deliberação sobre reclamação quando tenha intervindo </w:t>
      </w:r>
      <w:r>
        <w:rPr>
          <w:rFonts w:cs="Arial"/>
          <w:szCs w:val="22"/>
        </w:rPr>
        <w:t>como avaliador</w:t>
      </w:r>
      <w:r>
        <w:rPr>
          <w:rFonts w:cs="Arial"/>
          <w:szCs w:val="22"/>
        </w:rPr>
        <w:t>.</w:t>
      </w:r>
    </w:p>
    <w:p w14:paraId="2D1EEAEE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12.º</w:t>
      </w:r>
    </w:p>
    <w:p w14:paraId="162770B9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lastRenderedPageBreak/>
        <w:t>Conselho Académico</w:t>
      </w:r>
    </w:p>
    <w:p w14:paraId="021C2EE5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O Conselho Académico pronuncia-se sobre normas de harmonização do sistema de avaliação do desempenho docente, nos termos dos Estatutos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>.</w:t>
      </w:r>
    </w:p>
    <w:p w14:paraId="0E3FB7D3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 — O Conselho Académico exerce a competência prevista no número anterior, nos termos dos Estatutos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 xml:space="preserve"> e do respetivo regimento.</w:t>
      </w:r>
    </w:p>
    <w:p w14:paraId="3D7BC8B6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A articulação entre as secções do Conselho Académico não prejudica as competências próprias dos </w:t>
      </w:r>
      <w:r>
        <w:rPr>
          <w:rFonts w:cs="Arial"/>
          <w:szCs w:val="22"/>
        </w:rPr>
        <w:t xml:space="preserve">Conselhos Científicos</w:t>
      </w:r>
      <w:r>
        <w:rPr>
          <w:rFonts w:cs="Arial"/>
          <w:szCs w:val="22"/>
        </w:rPr>
        <w:t xml:space="preserve"> e dos Conselhos Pedagógicos das Escolas.</w:t>
      </w:r>
    </w:p>
    <w:p w14:paraId="50CFBB4B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13.º</w:t>
      </w:r>
    </w:p>
    <w:p w14:paraId="4C510988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Conselhos Científicos</w:t>
      </w:r>
    </w:p>
    <w:p w14:paraId="5BE785B7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Compete ao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 de cada Escola:</w:t>
      </w:r>
    </w:p>
    <w:p w14:paraId="5C01991E" w14:textId="77777777" w:rsidR="00FE2BEB" w:rsidRPr="00DE2E77" w:rsidRDefault="006E09A9" w:rsidP="008D4FAF">
      <w:pPr>
        <w:pStyle w:val="PargrafodaLista"/>
        <w:numPr>
          <w:ilvl w:val="0"/>
          <w:numId w:val="29"/>
        </w:numPr>
        <w:spacing w:before="120" w:after="0" w:line="36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Identificar as áreas científicas ou disciplinares dos avaliados;</w:t>
      </w:r>
    </w:p>
    <w:p w14:paraId="445BF35B" w14:textId="77777777" w:rsidR="00FE2BEB" w:rsidRPr="00DE2E77" w:rsidRDefault="006E09A9" w:rsidP="008D4FAF">
      <w:pPr>
        <w:pStyle w:val="PargrafodaLista"/>
        <w:numPr>
          <w:ilvl w:val="0"/>
          <w:numId w:val="29"/>
        </w:numPr>
        <w:spacing w:before="120" w:after="0" w:line="36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Propor adaptações da grelha de avaliação, nos termos dos n.ºs </w:t>
      </w:r>
      <w:r>
        <w:rPr>
          <w:rFonts w:asciiTheme="minorHAnsi" w:hAnsiTheme="minorHAnsi" w:cstheme="minorHAnsi"/>
        </w:rPr>
        <w:t>7</w:t>
      </w:r>
      <w:r>
        <w:rPr>
          <w:rFonts w:asciiTheme="minorHAnsi" w:hAnsiTheme="minorHAnsi" w:cstheme="minorHAnsi"/>
        </w:rPr>
        <w:t xml:space="preserve"> a </w:t>
      </w:r>
      <w:r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do artigo 8.º;</w:t>
      </w:r>
    </w:p>
    <w:p w14:paraId="1693D3A3" w14:textId="77777777" w:rsidR="00FE2BEB" w:rsidRPr="00DE2E77" w:rsidRDefault="006E09A9" w:rsidP="008D4FAF">
      <w:pPr>
        <w:pStyle w:val="PargrafodaLista"/>
        <w:numPr>
          <w:ilvl w:val="0"/>
          <w:numId w:val="29"/>
        </w:numPr>
        <w:spacing w:before="120" w:after="0" w:line="36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Designar os avaliadores;</w:t>
      </w:r>
    </w:p>
    <w:p w14:paraId="402AC512" w14:textId="77777777" w:rsidR="00FE2BEB" w:rsidRPr="00DE2E77" w:rsidRDefault="006E09A9" w:rsidP="008D4FAF">
      <w:pPr>
        <w:pStyle w:val="PargrafodaLista"/>
        <w:numPr>
          <w:ilvl w:val="0"/>
          <w:numId w:val="29"/>
        </w:numPr>
        <w:spacing w:before="120" w:after="0" w:line="36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Validar os perfis de avaliação, quando legal ou regulamentarmente exigível;</w:t>
      </w:r>
    </w:p>
    <w:p w14:paraId="43D70780" w14:textId="77777777" w:rsidR="00FE2BEB" w:rsidRPr="00DE2E77" w:rsidRDefault="006E09A9" w:rsidP="008D4FAF">
      <w:pPr>
        <w:pStyle w:val="PargrafodaLista"/>
        <w:numPr>
          <w:ilvl w:val="0"/>
          <w:numId w:val="29"/>
        </w:numPr>
        <w:spacing w:before="120" w:after="0" w:line="36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Apreciar os relatórios de autoavaliação </w:t>
      </w:r>
      <w:r>
        <w:rPr>
          <w:rFonts w:asciiTheme="minorHAnsi" w:hAnsiTheme="minorHAnsi" w:cstheme="minorHAnsi"/>
        </w:rPr>
        <w:t>e as propostas dos avaliadores;</w:t>
      </w:r>
      <w:r>
        <w:rPr>
          <w:rFonts w:asciiTheme="minorHAnsi" w:hAnsiTheme="minorHAnsi" w:cstheme="minorHAnsi"/>
        </w:rPr>
      </w:r>
    </w:p>
    <w:p w14:paraId="2B4789AD" w14:textId="77777777" w:rsidR="00FE2BEB" w:rsidRPr="00DE2E77" w:rsidRDefault="006E09A9" w:rsidP="008D4FAF">
      <w:pPr>
        <w:pStyle w:val="PargrafodaLista"/>
        <w:numPr>
          <w:ilvl w:val="0"/>
          <w:numId w:val="29"/>
        </w:numPr>
        <w:spacing w:before="120" w:after="0" w:line="36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Efetuar a avaliação final;</w:t>
      </w:r>
    </w:p>
    <w:p w14:paraId="727972F5" w14:textId="77777777" w:rsidR="00FE2BEB" w:rsidRPr="00DE2E77" w:rsidRDefault="006E09A9" w:rsidP="008D4FAF">
      <w:pPr>
        <w:pStyle w:val="PargrafodaLista"/>
        <w:numPr>
          <w:ilvl w:val="0"/>
          <w:numId w:val="29"/>
        </w:numPr>
        <w:spacing w:before="120" w:after="0" w:line="36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Apreciar e decidir as alegações apresentadas em audiência prévia;</w:t>
      </w:r>
    </w:p>
    <w:p w14:paraId="383C1B4A" w14:textId="77777777" w:rsidR="00FE2BEB" w:rsidRPr="00DE2E77" w:rsidRDefault="006E09A9" w:rsidP="008D4FAF">
      <w:pPr>
        <w:pStyle w:val="PargrafodaLista"/>
        <w:numPr>
          <w:ilvl w:val="0"/>
          <w:numId w:val="29"/>
        </w:numPr>
        <w:spacing w:before="120" w:after="0" w:line="360" w:lineRule="auto"/>
        <w:ind w:left="709" w:hanging="425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Remeter a classificação final para homologação.</w:t>
      </w:r>
    </w:p>
    <w:p w14:paraId="74EFAA24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14.º</w:t>
      </w:r>
    </w:p>
    <w:p w14:paraId="295F1320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Conselhos Pedagógicos</w:t>
      </w:r>
    </w:p>
    <w:p w14:paraId="3F6D89C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Os Conselhos Pedagógicos participam nas matérias da avaliação com incidência pedagógica direta.</w:t>
      </w:r>
    </w:p>
    <w:p w14:paraId="684B078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participação referida no número anterior abrange, designadamente:</w:t>
      </w:r>
    </w:p>
    <w:p w14:paraId="216DCD3F" w14:textId="77777777" w:rsidR="00FE2BEB" w:rsidRPr="00DE2E77" w:rsidRDefault="006E09A9" w:rsidP="008D4FAF">
      <w:pPr>
        <w:pStyle w:val="PargrafodaLista"/>
        <w:numPr>
          <w:ilvl w:val="0"/>
          <w:numId w:val="31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 apreciação de indicadores pedagógicos;</w:t>
      </w:r>
    </w:p>
    <w:p w14:paraId="0C67AAA1" w14:textId="77777777" w:rsidR="00FE2BEB" w:rsidRPr="00DE2E77" w:rsidRDefault="006E09A9" w:rsidP="008D4FAF">
      <w:pPr>
        <w:pStyle w:val="PargrafodaLista"/>
        <w:numPr>
          <w:ilvl w:val="0"/>
          <w:numId w:val="31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 validação ou apreciação dos instrumentos de recolha de opinião dos estudantes;</w:t>
      </w:r>
    </w:p>
    <w:p w14:paraId="00099392" w14:textId="77777777" w:rsidR="00FE2BEB" w:rsidRPr="00DE2E77" w:rsidRDefault="006E09A9" w:rsidP="008D4FAF">
      <w:pPr>
        <w:pStyle w:val="PargrafodaLista"/>
        <w:numPr>
          <w:ilvl w:val="0"/>
          <w:numId w:val="31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 pronúncia sobre práticas pedagógicas ativas;</w:t>
      </w:r>
    </w:p>
    <w:p w14:paraId="0A6EFA8B" w14:textId="77777777" w:rsidR="00FE2BEB" w:rsidRPr="00DE2E77" w:rsidRDefault="006E09A9" w:rsidP="008D4FAF">
      <w:pPr>
        <w:pStyle w:val="PargrafodaLista"/>
        <w:numPr>
          <w:ilvl w:val="0"/>
          <w:numId w:val="31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A pronúncia sobre supervisão de estágios e demais atividades de natureza pedagógica.</w:t>
      </w:r>
    </w:p>
    <w:p w14:paraId="5E8E6A4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A participação dos Conselhos Pedagógicos não prejudica a competência do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 para efetuar a avaliação final.</w:t>
      </w:r>
    </w:p>
    <w:p w14:paraId="13CF12F5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15.º</w:t>
      </w:r>
    </w:p>
    <w:p w14:paraId="0A16FC47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Avaliadores e comissões de harmonização</w:t>
      </w:r>
    </w:p>
    <w:p w14:paraId="2ED8D6E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A avaliação de cada docente é da responsabilidade de um avaliador, designado pelo Conselho Científico, sob proposta dos responsáveis das áreas científicas ou disciplinares.</w:t>
      </w:r>
    </w:p>
    <w:p w14:paraId="4FB9551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designação recai sobre docente de categoria igual ou superior à do avaliado e, sempre que possível, da respetiva área científica ou disciplinar.</w:t>
      </w:r>
    </w:p>
    <w:p w14:paraId="1401AF1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designação observa as garantias de imparcialidade previstas no Código do Procedimento Administrativo.</w:t>
      </w:r>
    </w:p>
    <w:p w14:paraId="1FA6E27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Quando necessário, podem ser designados avaliadores de outras instituições de ensino superior, nacionais ou estrangeiras.</w:t>
      </w:r>
    </w:p>
    <w:p w14:paraId="604BCD25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5 — Compete ao avaliador:</w:t>
      </w:r>
    </w:p>
    <w:p w14:paraId="5709E852" w14:textId="77777777" w:rsidR="00FE2BEB" w:rsidRPr="00DE2E77" w:rsidRDefault="006E09A9" w:rsidP="008D4FAF">
      <w:pPr>
        <w:pStyle w:val="PargrafodaLista"/>
        <w:numPr>
          <w:ilvl w:val="0"/>
          <w:numId w:val="33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Acordar com o avaliado o plano de trabalho e o perfil de avaliação;</w:t>
      </w:r>
    </w:p>
    <w:p w14:paraId="32227080" w14:textId="77777777" w:rsidR="00FE2BEB" w:rsidRPr="00DE2E77" w:rsidRDefault="006E09A9" w:rsidP="008D4FAF">
      <w:pPr>
        <w:pStyle w:val="PargrafodaLista"/>
        <w:numPr>
          <w:ilvl w:val="0"/>
          <w:numId w:val="33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Acompanhar o desempenho do avaliado durante o ciclo avaliativo;</w:t>
      </w:r>
    </w:p>
    <w:p w14:paraId="6E42A8C0" w14:textId="77777777" w:rsidR="00FE2BEB" w:rsidRPr="00DE2E77" w:rsidRDefault="006E09A9" w:rsidP="008D4FAF">
      <w:pPr>
        <w:pStyle w:val="PargrafodaLista"/>
        <w:numPr>
          <w:ilvl w:val="0"/>
          <w:numId w:val="33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Realizar reuniões de acompanhamento, nos termos do presente Regulamento;</w:t>
      </w:r>
    </w:p>
    <w:p w14:paraId="0E50CE2E" w14:textId="77777777" w:rsidR="00FE2BEB" w:rsidRPr="00DE2E77" w:rsidRDefault="006E09A9" w:rsidP="008D4FAF">
      <w:pPr>
        <w:pStyle w:val="PargrafodaLista"/>
        <w:numPr>
          <w:ilvl w:val="0"/>
          <w:numId w:val="33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Analisar a grelha preenchida e o relatório de autoavaliação;</w:t>
      </w:r>
    </w:p>
    <w:p w14:paraId="4D027B13" w14:textId="77777777" w:rsidR="00FE2BEB" w:rsidRPr="00DE2E77" w:rsidRDefault="006E09A9" w:rsidP="008D4FAF">
      <w:pPr>
        <w:pStyle w:val="PargrafodaLista"/>
        <w:numPr>
          <w:ilvl w:val="0"/>
          <w:numId w:val="33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Elaborar proposta de classificação fundamentada;</w:t>
      </w:r>
    </w:p>
    <w:p w14:paraId="733862DD" w14:textId="77777777" w:rsidR="00FE2BEB" w:rsidRPr="00DE2E77" w:rsidRDefault="006E09A9" w:rsidP="008D4FAF">
      <w:pPr>
        <w:pStyle w:val="PargrafodaLista"/>
        <w:numPr>
          <w:ilvl w:val="0"/>
          <w:numId w:val="33"/>
        </w:numPr>
        <w:spacing w:before="120" w:after="0" w:line="360" w:lineRule="auto"/>
        <w:ind w:left="851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Remeter o processo ao </w:t>
      </w:r>
      <w:r>
        <w:rPr>
          <w:rFonts w:ascii="Arial" w:hAnsi="Arial"/>
        </w:rPr>
        <w:t xml:space="preserve">Conselho Científico</w:t>
      </w:r>
      <w:r>
        <w:rPr>
          <w:rFonts w:ascii="Arial" w:hAnsi="Arial"/>
        </w:rPr>
        <w:t xml:space="preserve">.</w:t>
      </w:r>
    </w:p>
    <w:p w14:paraId="1401AF1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6 — O Conselho Coordenador de Avaliação do Desempenho do Pessoal Docente cria comissões de harmonização, por área ou domínio científico, de âmbito institucional.</w:t>
      </w:r>
    </w:p>
    <w:p w14:paraId="1401AF1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7 — Compete às comissões de harmonização:</w:t>
      </w:r>
    </w:p>
    <w:p w14:paraId="1401AF18" w14:textId="77777777" w:rsidR="00FE2BEB" w:rsidRPr="00DE2E77" w:rsidRDefault="006E09A9" w:rsidP="008D4FAF">
      <w:pPr>
        <w:spacing w:before="120" w:line="360" w:lineRule="auto"/>
        <w:ind w:left="709"/>
        <w:jc w:val="both"/>
        <w:rPr>
          <w:rFonts w:cs="Arial"/>
          <w:szCs w:val="22"/>
        </w:rPr>
      </w:pPr>
      <w:r>
        <w:rPr>
          <w:rFonts w:cs="Arial"/>
          <w:szCs w:val="22"/>
        </w:rPr>
        <w:t>a) Harmonizar a aplicação da grelha de avaliação e as propostas de classificação dos avaliadores, depois de elaboradas e antes da avaliação final pelo Conselho Científico e da homologação;</w:t>
      </w:r>
    </w:p>
    <w:p w14:paraId="1401AF18" w14:textId="77777777" w:rsidR="00FE2BEB" w:rsidRPr="00DE2E77" w:rsidRDefault="006E09A9" w:rsidP="008D4FAF">
      <w:pPr>
        <w:spacing w:before="120" w:line="360" w:lineRule="auto"/>
        <w:ind w:left="709"/>
        <w:jc w:val="both"/>
        <w:rPr>
          <w:rFonts w:cs="Arial"/>
          <w:szCs w:val="22"/>
        </w:rPr>
      </w:pPr>
      <w:r>
        <w:rPr>
          <w:rFonts w:cs="Arial"/>
          <w:szCs w:val="22"/>
        </w:rPr>
        <w:t>b) Promover o enquadramento e a formação dos avaliadores, internos e externos;</w:t>
      </w:r>
    </w:p>
    <w:p w14:paraId="1401AF18" w14:textId="77777777" w:rsidR="00FE2BEB" w:rsidRPr="00DE2E77" w:rsidRDefault="006E09A9" w:rsidP="008D4FAF">
      <w:pPr>
        <w:spacing w:before="120" w:line="360" w:lineRule="auto"/>
        <w:ind w:left="709"/>
        <w:jc w:val="both"/>
        <w:rPr>
          <w:rFonts w:cs="Arial"/>
          <w:szCs w:val="22"/>
        </w:rPr>
      </w:pPr>
      <w:r>
        <w:rPr>
          <w:rFonts w:cs="Arial"/>
          <w:szCs w:val="22"/>
        </w:rPr>
        <w:t>c) Propor ao Conselho Coordenador de Avaliação do Desempenho do Pessoal Docente orientações para a aplicação uniforme da grelha.</w:t>
      </w:r>
    </w:p>
    <w:p w14:paraId="1401AF1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8 — As comissões de harmonização não substituem o avaliador nem os órgãos de avaliação, formulando recomendações fundamentadas para efeitos de harmonização.</w:t>
      </w:r>
    </w:p>
    <w:p w14:paraId="5535A5C1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16.º</w:t>
      </w:r>
    </w:p>
    <w:p w14:paraId="0624C57E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Avaliado</w:t>
      </w:r>
    </w:p>
    <w:p w14:paraId="4BB92739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>1 — O docente tem direito à avaliação do seu desempenho como elemento do respetivo desenvolvimento profissional.</w:t>
      </w:r>
    </w:p>
    <w:p w14:paraId="1922953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O docente tem direito aos meios necessários ao exercício das funções avaliadas, dentro das condições legal e institucionalmente aplicáveis.</w:t>
      </w:r>
    </w:p>
    <w:p w14:paraId="5EC435B3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O docente pode suscitar a suspeição do avaliador no prazo de cinco dias úteis </w:t>
      </w:r>
      <w:r>
        <w:rPr>
          <w:rFonts w:cs="Arial"/>
          <w:szCs w:val="22"/>
        </w:rPr>
        <w:t>após a notificação da respetiva designação, efetuada pelo presidente do Conselho Científico.</w:t>
      </w:r>
      <w:r>
        <w:rPr>
          <w:rFonts w:cs="Arial"/>
          <w:szCs w:val="22"/>
        </w:rPr>
      </w:r>
    </w:p>
    <w:p w14:paraId="284D0D7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O docente apresenta o relatório de autoavaliação no prazo fixado.</w:t>
      </w:r>
    </w:p>
    <w:p w14:paraId="2F0B38B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5 — A falta de entrega do relatório apenas determina a atribuição da menção de Insuficiente quando a omissão seja imputável ao docente.</w:t>
      </w:r>
    </w:p>
    <w:p w14:paraId="5C8CC409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6 — A consequência prevista no número anterior depende de notificação prévia, efetuada pelo presidente do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, para suprimento da omissão em prazo razoável.</w:t>
      </w:r>
    </w:p>
    <w:p w14:paraId="1F49868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7 — A doença, a ausência justificada, a impossibilidade não imputável e demais situações legalmente protegidas são apreciadas nos termos do artigo 25.º.</w:t>
      </w:r>
    </w:p>
    <w:p w14:paraId="62B9D8A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8 — Os resultados dos inquéritos aos estudantes são comunicados ao docente após o respetivo apuramento.</w:t>
      </w:r>
    </w:p>
    <w:p w14:paraId="0EB97E0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9 — O docente pode suscitar a validação dos resultados referidos no número anterior pelo órgão pedagógico competente.</w:t>
      </w:r>
    </w:p>
    <w:p w14:paraId="7D25641A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17.º</w:t>
      </w:r>
    </w:p>
    <w:p w14:paraId="1E7E402B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Reito</w:t>
      </w:r>
      <w:r>
        <w:rPr>
          <w:rFonts w:cs="Arial"/>
          <w:b/>
          <w:szCs w:val="22"/>
        </w:rPr>
        <w:t xml:space="preserve">r </w:t>
      </w:r>
      <w:r>
        <w:rPr>
          <w:rFonts w:cs="Arial"/>
          <w:b/>
          <w:szCs w:val="22"/>
        </w:rPr>
        <w:t>da UPSantarém</w:t>
      </w:r>
    </w:p>
    <w:p w14:paraId="6C707BDF" w14:textId="77777777" w:rsidR="00FE2BEB" w:rsidRPr="00DE2E77" w:rsidRDefault="002658CC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Compete ao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 xml:space="preserve">r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>:</w:t>
      </w:r>
    </w:p>
    <w:p w14:paraId="324D1A71" w14:textId="77777777" w:rsidR="00FE2BEB" w:rsidRPr="00DE2E77" w:rsidRDefault="006E09A9" w:rsidP="008D4FAF">
      <w:pPr>
        <w:pStyle w:val="PargrafodaLista"/>
        <w:numPr>
          <w:ilvl w:val="0"/>
          <w:numId w:val="35"/>
        </w:numPr>
        <w:spacing w:before="120" w:after="0" w:line="360" w:lineRule="auto"/>
        <w:ind w:left="993" w:hanging="426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Garantir a adequação do sistema de avaliação às realidades </w:t>
      </w:r>
      <w:r>
        <w:rPr>
          <w:rFonts w:ascii="Arial" w:hAnsi="Arial"/>
        </w:rPr>
        <w:t>da UPSantarém</w:t>
      </w:r>
      <w:r>
        <w:rPr>
          <w:rFonts w:ascii="Arial" w:hAnsi="Arial"/>
        </w:rPr>
        <w:t>;</w:t>
      </w:r>
    </w:p>
    <w:p w14:paraId="52FC216A" w14:textId="77777777" w:rsidR="00FE2BEB" w:rsidRPr="00DE2E77" w:rsidRDefault="006E09A9" w:rsidP="008D4FAF">
      <w:pPr>
        <w:pStyle w:val="PargrafodaLista"/>
        <w:numPr>
          <w:ilvl w:val="0"/>
          <w:numId w:val="35"/>
        </w:numPr>
        <w:spacing w:before="120" w:after="0" w:line="360" w:lineRule="auto"/>
        <w:ind w:left="993" w:hanging="426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Aprovar os instrumentos normativos da avaliação nos termos legais e estatutários;</w:t>
      </w:r>
    </w:p>
    <w:p w14:paraId="2D9ABA79" w14:textId="77777777" w:rsidR="00FE2BEB" w:rsidRPr="00DE2E77" w:rsidRDefault="006E09A9" w:rsidP="008D4FAF">
      <w:pPr>
        <w:pStyle w:val="PargrafodaLista"/>
        <w:numPr>
          <w:ilvl w:val="0"/>
          <w:numId w:val="35"/>
        </w:numPr>
        <w:spacing w:before="120" w:after="0" w:line="360" w:lineRule="auto"/>
        <w:ind w:left="993" w:hanging="426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Homologar as avaliações finais;</w:t>
      </w:r>
    </w:p>
    <w:p w14:paraId="23F07B11" w14:textId="77777777" w:rsidR="00FE2BEB" w:rsidRPr="00DE2E77" w:rsidRDefault="006E09A9" w:rsidP="008D4FAF">
      <w:pPr>
        <w:pStyle w:val="PargrafodaLista"/>
        <w:numPr>
          <w:ilvl w:val="0"/>
          <w:numId w:val="35"/>
        </w:numPr>
        <w:spacing w:before="120" w:after="0" w:line="360" w:lineRule="auto"/>
        <w:ind w:left="993" w:hanging="426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Solicitar ao </w:t>
      </w:r>
      <w:r>
        <w:rPr>
          <w:rFonts w:ascii="Arial" w:hAnsi="Arial"/>
        </w:rPr>
        <w:t xml:space="preserve">Conselho Científico</w:t>
      </w:r>
      <w:r>
        <w:rPr>
          <w:rFonts w:ascii="Arial" w:hAnsi="Arial"/>
        </w:rPr>
        <w:t xml:space="preserve"> a atribuição de nova classificação em caso de não homologação fundamentada;</w:t>
      </w:r>
    </w:p>
    <w:p w14:paraId="5BADFD1C" w14:textId="77777777" w:rsidR="00FE2BEB" w:rsidRPr="00DE2E77" w:rsidRDefault="006E09A9" w:rsidP="008D4FAF">
      <w:pPr>
        <w:pStyle w:val="PargrafodaLista"/>
        <w:numPr>
          <w:ilvl w:val="0"/>
          <w:numId w:val="35"/>
        </w:numPr>
        <w:spacing w:before="120" w:after="0" w:line="360" w:lineRule="auto"/>
        <w:ind w:left="993" w:hanging="426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Decidir as reclamações, ouvido o CCADPD</w:t>
      </w:r>
      <w:r>
        <w:rPr>
          <w:rFonts w:ascii="Arial" w:hAnsi="Arial"/>
        </w:rPr>
        <w:t>.</w:t>
      </w:r>
    </w:p>
    <w:p w14:paraId="389CA50D" w14:textId="77777777" w:rsidR="00FE2BEB" w:rsidRPr="00DE2E77" w:rsidRDefault="002658CC" w:rsidP="008D4FAF">
      <w:pPr>
        <w:spacing w:before="120" w:line="360" w:lineRule="auto"/>
        <w:jc w:val="both"/>
      </w:pPr>
      <w:r>
        <w:rPr/>
        <w:lastRenderedPageBreak/>
        <w:t>2 — O Reitor pode delegar num Vice-Reitor as competências relativas ao processo de avaliação, nos termos legais.</w:t>
      </w:r>
    </w:p>
    <w:p w14:paraId="2F450DE5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CAPÍTULO IV</w:t>
      </w:r>
    </w:p>
    <w:p w14:paraId="0732D400" w14:textId="77777777" w:rsidR="00FE2BEB" w:rsidRPr="00DE2E77" w:rsidRDefault="006E09A9" w:rsidP="008D4FAF">
      <w:pPr>
        <w:spacing w:after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Processo de avaliação</w:t>
      </w:r>
    </w:p>
    <w:p w14:paraId="43FBB441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18.º</w:t>
      </w:r>
    </w:p>
    <w:p w14:paraId="2A3EFA8E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Procedimentos prévios</w:t>
      </w:r>
    </w:p>
    <w:p w14:paraId="4D1EE45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O CCADPD inicia a preparação de cada ciclo de avaliação até 1 de outubro do ano anterior ao respetivo início.</w:t>
      </w:r>
    </w:p>
    <w:p w14:paraId="352BA84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 — 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 desencadeia o processo de avaliação até 31 de outubro do ano anterior ao início do ciclo.</w:t>
      </w:r>
    </w:p>
    <w:p w14:paraId="66E3026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calendarização anual ou plurianual do processo é divulgada aos docentes e aos órgãos intervenientes.</w:t>
      </w:r>
    </w:p>
    <w:p w14:paraId="2DE12BF9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19.º</w:t>
      </w:r>
    </w:p>
    <w:p w14:paraId="3260CC85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Fases do processo</w:t>
      </w:r>
    </w:p>
    <w:p w14:paraId="4692D4B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O processo de avaliação compreende as seguintes fases:</w:t>
      </w:r>
    </w:p>
    <w:p w14:paraId="09F77ED9" w14:textId="77777777" w:rsidR="002658CC" w:rsidRPr="00DE2E77" w:rsidRDefault="002658CC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Designação do avaliador;</w:t>
      </w:r>
    </w:p>
    <w:p w14:paraId="76CA02CD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Fixação do plano de trabalho e do perfil de avaliação;</w:t>
      </w:r>
    </w:p>
    <w:p w14:paraId="3EDA669D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Acompanhamento do desempenho;</w:t>
      </w:r>
    </w:p>
    <w:p w14:paraId="5B9F5D7D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Autoavaliação;</w:t>
      </w:r>
    </w:p>
    <w:p w14:paraId="0BD2770E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Apreciação pelo avaliador;</w:t>
      </w:r>
    </w:p>
    <w:p w14:paraId="0BD2770E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Harmonização das propostas de classificação;</w:t>
      </w:r>
    </w:p>
    <w:p w14:paraId="242E041E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 xml:space="preserve">Avaliação final pelo </w:t>
      </w:r>
      <w:r>
        <w:rPr>
          <w:rFonts w:ascii="Arial" w:hAnsi="Arial"/>
        </w:rPr>
        <w:t xml:space="preserve">Conselho Científico</w:t>
      </w:r>
      <w:r>
        <w:rPr>
          <w:rFonts w:ascii="Arial" w:hAnsi="Arial"/>
        </w:rPr>
        <w:t xml:space="preserve">;</w:t>
      </w:r>
    </w:p>
    <w:p w14:paraId="1460B6F0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Audiência prévia;</w:t>
      </w:r>
    </w:p>
    <w:p w14:paraId="5D56C5F7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Homologação;</w:t>
      </w:r>
    </w:p>
    <w:p w14:paraId="64F57815" w14:textId="77777777" w:rsidR="00FE2BEB" w:rsidRPr="00DE2E77" w:rsidRDefault="006E09A9" w:rsidP="008D4FAF">
      <w:pPr>
        <w:pStyle w:val="PargrafodaLista"/>
        <w:numPr>
          <w:ilvl w:val="0"/>
          <w:numId w:val="37"/>
        </w:numPr>
        <w:spacing w:before="120" w:after="0" w:line="360" w:lineRule="auto"/>
        <w:ind w:left="709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Reclamação, quando apresentada.</w:t>
      </w:r>
    </w:p>
    <w:p w14:paraId="380CB84A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20.º</w:t>
      </w:r>
    </w:p>
    <w:p w14:paraId="5B06AF9F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Acompanhamento e situações supervenientes</w:t>
      </w:r>
    </w:p>
    <w:p w14:paraId="2A8C3E3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No final de cada ano realiza-se reunião </w:t>
      </w:r>
      <w:r>
        <w:rPr>
          <w:rFonts w:cs="Arial"/>
          <w:szCs w:val="22"/>
        </w:rPr>
        <w:t>entre o avaliador e o avaliado</w:t>
      </w:r>
      <w:r>
        <w:rPr>
          <w:rFonts w:cs="Arial"/>
          <w:szCs w:val="22"/>
        </w:rPr>
        <w:t>.</w:t>
      </w:r>
    </w:p>
    <w:p w14:paraId="613B29C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reunião destina-se ao acompanhamento do desempenho, à regulação do plano de trabalho e à preparação do período seguinte.</w:t>
      </w:r>
    </w:p>
    <w:p w14:paraId="35BDBB4A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As situações supervenientes suscetíveis de alterar o plano de trabalho ou o perfil de avaliação são comunicadas ao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.</w:t>
      </w:r>
    </w:p>
    <w:p w14:paraId="4AC6C81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A comunicação é apresentada por requerimento fundamentado, no prazo de 20 dias úteis após o conhecimento da situação.</w:t>
      </w:r>
    </w:p>
    <w:p w14:paraId="46F8169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5 — As situações de ausência prolongada ou legalmente protegida são apreciadas nos termos do artigo 25.º.</w:t>
      </w:r>
    </w:p>
    <w:p w14:paraId="4EB0CB7F" w14:textId="77777777" w:rsidR="008D4FAF" w:rsidRDefault="008D4FAF" w:rsidP="008D4FAF">
      <w:pPr>
        <w:spacing w:before="240" w:line="360" w:lineRule="auto"/>
        <w:jc w:val="center"/>
        <w:rPr>
          <w:rFonts w:cs="Arial"/>
          <w:b/>
          <w:szCs w:val="22"/>
        </w:rPr>
      </w:pPr>
    </w:p>
    <w:p w14:paraId="36887E92" w14:textId="697BD53F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21.º</w:t>
      </w:r>
    </w:p>
    <w:p w14:paraId="2D6C7258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Autoavaliação</w:t>
      </w:r>
    </w:p>
    <w:p w14:paraId="346B6280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A autoavaliação é efetuada mediante preenchimento da grelha de avaliação individual e apresentação de relatório de autoavaliação, sob a forma de síntese reflexiva.</w:t>
      </w:r>
    </w:p>
    <w:p w14:paraId="16AE9BC0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síntese reflexiva observa o modelo constante do Anexo II, com o máximo de duas páginas.</w:t>
      </w:r>
    </w:p>
    <w:p w14:paraId="4399C0A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A grelha e o relatório são </w:t>
      </w:r>
      <w:r>
        <w:rPr>
          <w:rFonts w:cs="Arial"/>
          <w:szCs w:val="22"/>
        </w:rPr>
        <w:t>entregues ao avaliador entre</w:t>
      </w:r>
      <w:r>
        <w:rPr>
          <w:rFonts w:cs="Arial"/>
          <w:szCs w:val="22"/>
        </w:rPr>
        <w:t xml:space="preserve"> 1 e 31 de janeiro do ano seguinte ao termo do período de avaliação.</w:t>
      </w:r>
    </w:p>
    <w:p w14:paraId="7C80D7CD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22.º</w:t>
      </w:r>
    </w:p>
    <w:p w14:paraId="75E3CD74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Apreciação pelo avaliador</w:t>
      </w:r>
    </w:p>
    <w:p w14:paraId="3F4DD04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</w:t>
      </w:r>
      <w:r>
        <w:rPr>
          <w:rFonts w:cs="Arial"/>
          <w:szCs w:val="22"/>
        </w:rPr>
        <w:t>O avaliador analisa a grelha</w:t>
      </w:r>
      <w:r>
        <w:rPr>
          <w:rFonts w:cs="Arial"/>
          <w:szCs w:val="22"/>
        </w:rPr>
        <w:t xml:space="preserve"> de avaliação individual, o relatório de autoavaliação e os elementos comprovativos apresentados.</w:t>
      </w:r>
    </w:p>
    <w:p w14:paraId="273B23DC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 — </w:t>
      </w:r>
      <w:r>
        <w:rPr>
          <w:rFonts w:cs="Arial"/>
          <w:szCs w:val="22"/>
        </w:rPr>
        <w:t>O avaliador elabora proposta</w:t>
      </w:r>
      <w:r>
        <w:rPr>
          <w:rFonts w:cs="Arial"/>
          <w:szCs w:val="22"/>
        </w:rPr>
        <w:t xml:space="preserve"> de classificação quantitativa e qualitativa.</w:t>
      </w:r>
    </w:p>
    <w:p w14:paraId="22DB6506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A proposta é fundamentada e remetida ao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 até 31 de março do ano seguinte ao termo do período de avaliação.</w:t>
      </w:r>
    </w:p>
    <w:p w14:paraId="27749723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lastRenderedPageBreak/>
        <w:t>Artigo 23.º</w:t>
      </w:r>
    </w:p>
    <w:p w14:paraId="3ED6CEB1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Avaliação final e audiência prévia</w:t>
      </w:r>
    </w:p>
    <w:p w14:paraId="51C41FE3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O Conselho Científico </w:t>
      </w:r>
      <w:r>
        <w:rPr>
          <w:rFonts w:cs="Arial"/>
          <w:szCs w:val="22"/>
        </w:rPr>
        <w:t>aprecia a proposta do avaliador, ponderadas as recomendações da comissão de harmonização competente, e aprova</w:t>
      </w:r>
      <w:r>
        <w:rPr>
          <w:rFonts w:cs="Arial"/>
          <w:szCs w:val="22"/>
        </w:rPr>
        <w:t xml:space="preserve"> a proposta de classificação final até 20 de abril.</w:t>
      </w:r>
    </w:p>
    <w:p w14:paraId="6C081B2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proposta de classificação final é notificada ao docente para audiência prévia.</w:t>
      </w:r>
    </w:p>
    <w:p w14:paraId="0E06C99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O docente dispõe de 10 dias úteis para se pronunciar.</w:t>
      </w:r>
    </w:p>
    <w:p w14:paraId="35715E15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4 — 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 aprecia as alegações apresentadas e fixa a classificação final fundamentada.</w:t>
      </w:r>
    </w:p>
    <w:p w14:paraId="5933217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5 — A classificação final é remetida ao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 xml:space="preserve">r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 xml:space="preserve"> para homologação.</w:t>
      </w:r>
    </w:p>
    <w:p w14:paraId="73B9158D" w14:textId="77777777" w:rsidR="008D4FAF" w:rsidRDefault="008D4FAF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br w:type="page"/>
      </w:r>
    </w:p>
    <w:p w14:paraId="1998E51F" w14:textId="6F7B9968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lastRenderedPageBreak/>
        <w:t>Artigo 24.º</w:t>
      </w:r>
    </w:p>
    <w:p w14:paraId="199AA3E4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Homologação</w:t>
      </w:r>
    </w:p>
    <w:p w14:paraId="5C8E1C32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A homologação compete ao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 xml:space="preserve">r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 xml:space="preserve"> ou ao Vice-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>r com competência delegada.</w:t>
      </w:r>
    </w:p>
    <w:p w14:paraId="52DC971C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homologação ocorre no prazo de 15 dias úteis após a receção da classificação final.</w:t>
      </w:r>
    </w:p>
    <w:p w14:paraId="739DEB0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decisão de homologação observa o princípio da diferenciação do desempenho e o justo equilíbrio na distribuição dos resultados.</w:t>
      </w:r>
    </w:p>
    <w:p w14:paraId="0C4F68C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A não homologação é fundamentada.</w:t>
      </w:r>
    </w:p>
    <w:p w14:paraId="5D737B53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5 — Em caso de não homologação, o processo é devolvido ao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 para nova classificação, precedida de audiência do avaliado.</w:t>
      </w:r>
    </w:p>
    <w:p w14:paraId="324F019C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6 — 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 é ouvido quando a matéria em causa o justifique.</w:t>
      </w:r>
    </w:p>
    <w:p w14:paraId="1BFD8B13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7 — A classificação homologada é notificada ao docente pelo Diretor da respetiva unidade orgânica até 30 de junho.</w:t>
      </w:r>
    </w:p>
    <w:p w14:paraId="68CD23BA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25.º</w:t>
      </w:r>
    </w:p>
    <w:p w14:paraId="20E08FE2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Situações de ausência e ponderação curricular</w:t>
      </w:r>
    </w:p>
    <w:p w14:paraId="61FC877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Quando não seja possível avaliar o docente nos termos gerais, aplica-se a avaliação por ponderação curricular.</w:t>
      </w:r>
    </w:p>
    <w:p w14:paraId="2FE70E65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ponderação curricular aplica-se, designadamente, nas seguintes situações:</w:t>
      </w:r>
    </w:p>
    <w:p w14:paraId="4E200AD0" w14:textId="77777777" w:rsidR="00FE2BEB" w:rsidRPr="00DE2E77" w:rsidRDefault="006E09A9" w:rsidP="008D4FAF">
      <w:pPr>
        <w:pStyle w:val="PargrafodaLista"/>
        <w:numPr>
          <w:ilvl w:val="0"/>
          <w:numId w:val="39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Ausência prolongada por motivo legalmente protegido;</w:t>
      </w:r>
    </w:p>
    <w:p w14:paraId="3E4BAA66" w14:textId="77777777" w:rsidR="00FE2BEB" w:rsidRPr="00DE2E77" w:rsidRDefault="006E09A9" w:rsidP="008D4FAF">
      <w:pPr>
        <w:pStyle w:val="PargrafodaLista"/>
        <w:numPr>
          <w:ilvl w:val="0"/>
          <w:numId w:val="39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Doença;</w:t>
      </w:r>
    </w:p>
    <w:p w14:paraId="77D4E6EA" w14:textId="77777777" w:rsidR="00FE2BEB" w:rsidRPr="00DE2E77" w:rsidRDefault="006E09A9" w:rsidP="008D4FAF">
      <w:pPr>
        <w:pStyle w:val="PargrafodaLista"/>
        <w:numPr>
          <w:ilvl w:val="0"/>
          <w:numId w:val="39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Parentalidade;</w:t>
      </w:r>
    </w:p>
    <w:p w14:paraId="3DAB935F" w14:textId="77777777" w:rsidR="00FE2BEB" w:rsidRPr="00DE2E77" w:rsidRDefault="006E09A9" w:rsidP="008D4FAF">
      <w:pPr>
        <w:pStyle w:val="PargrafodaLista"/>
        <w:numPr>
          <w:ilvl w:val="0"/>
          <w:numId w:val="39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Exercício de funções públicas relevantes;</w:t>
      </w:r>
    </w:p>
    <w:p w14:paraId="7A4180CB" w14:textId="77777777" w:rsidR="00FE2BEB" w:rsidRPr="00DE2E77" w:rsidRDefault="006E09A9" w:rsidP="008D4FAF">
      <w:pPr>
        <w:pStyle w:val="PargrafodaLista"/>
        <w:numPr>
          <w:ilvl w:val="0"/>
          <w:numId w:val="39"/>
        </w:numPr>
        <w:spacing w:before="120" w:after="0" w:line="360" w:lineRule="auto"/>
        <w:ind w:left="850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Outra situação não imputável ao docente que inviabilize a avaliação nos termos gerais.</w:t>
      </w:r>
    </w:p>
    <w:p w14:paraId="3DF6F16B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ponderação curricular baseia-se nos elementos objetivos disponíveis.</w:t>
      </w:r>
    </w:p>
    <w:p w14:paraId="45987182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A aplicação da ponderação curricular respeita os princípios da igualdade, proporcionalidade e não penalização de ausências legalmente protegidas.</w:t>
      </w:r>
    </w:p>
    <w:p w14:paraId="044767B0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5 — A grelha define os elementos objetivos atendíveis e a metodologia aplicável à ponderação curricular, incluindo o período de referência, </w:t>
      </w:r>
      <w:r>
        <w:rPr>
          <w:rFonts w:cs="Arial"/>
          <w:szCs w:val="22"/>
        </w:rPr>
        <w:t>a proporcionalização das pontuações de referência</w:t>
      </w:r>
      <w:r>
        <w:rPr>
          <w:rFonts w:cs="Arial"/>
          <w:szCs w:val="22"/>
        </w:rPr>
        <w:t xml:space="preserve"> e as fontes de verificação, devendo a respetiva aplicação ser objeto de decisão fundamentada do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, precedida de audiência do docente.</w:t>
      </w:r>
    </w:p>
    <w:p w14:paraId="42618E26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26.º</w:t>
      </w:r>
    </w:p>
    <w:p w14:paraId="33971F06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Reclamação</w:t>
      </w:r>
    </w:p>
    <w:p w14:paraId="478DED2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Do ato de homologação cabe reclamação para o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 xml:space="preserve">r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>.</w:t>
      </w:r>
    </w:p>
    <w:p w14:paraId="2ACF4E4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reclamação é apresentada no prazo de 15 dias a contar da notificação, nos termos do Código do Procedimento Administrativo.</w:t>
      </w:r>
    </w:p>
    <w:p w14:paraId="6DF9D4B9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O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>r remete a reclamação ao CCADPD para emissão de parecer.</w:t>
      </w:r>
    </w:p>
    <w:p w14:paraId="2462B77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O CCADPD emite parecer no prazo de 15 dias úteis.</w:t>
      </w:r>
    </w:p>
    <w:p w14:paraId="7A26210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5 — O </w:t>
      </w:r>
      <w:r>
        <w:rPr>
          <w:rFonts w:cs="Arial"/>
          <w:szCs w:val="22"/>
        </w:rPr>
        <w:t xml:space="preserve">Conselho Científico</w:t>
      </w:r>
      <w:r>
        <w:rPr>
          <w:rFonts w:cs="Arial"/>
          <w:szCs w:val="22"/>
        </w:rPr>
        <w:t xml:space="preserve"> pode ser ouvido quando a matéria o justifique.</w:t>
      </w:r>
    </w:p>
    <w:p w14:paraId="23CE1BF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6 — O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>r profere decisão final no prazo de 10 dias úteis após a receção do parecer.</w:t>
      </w:r>
    </w:p>
    <w:p w14:paraId="351336C9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27.º</w:t>
      </w:r>
    </w:p>
    <w:p w14:paraId="3D297A03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Impugnação judicial</w:t>
      </w:r>
    </w:p>
    <w:p w14:paraId="7B3A9962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Do ato de homologação ou da decisão da reclamação cabe impugnação judicial, nos termos gerais de direito.</w:t>
      </w:r>
    </w:p>
    <w:p w14:paraId="121B2BB5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CAPÍTULO V</w:t>
      </w:r>
    </w:p>
    <w:p w14:paraId="37686FD5" w14:textId="77777777" w:rsidR="00FE2BEB" w:rsidRPr="00DE2E77" w:rsidRDefault="006E09A9" w:rsidP="008D4FAF">
      <w:pPr>
        <w:spacing w:after="240" w:line="360" w:lineRule="auto"/>
        <w:jc w:val="center"/>
        <w:rPr>
          <w:rFonts w:cs="Arial"/>
          <w:caps/>
          <w:szCs w:val="22"/>
        </w:rPr>
      </w:pPr>
      <w:r>
        <w:rPr>
          <w:rFonts w:cs="Arial"/>
          <w:b/>
          <w:caps/>
          <w:szCs w:val="22"/>
        </w:rPr>
        <w:t>Efeitos no posicionamento remuneratório</w:t>
      </w:r>
    </w:p>
    <w:p w14:paraId="3C97173F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28.º</w:t>
      </w:r>
    </w:p>
    <w:p w14:paraId="0B638FB3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Alteração do posicionamento remuneratório</w:t>
      </w:r>
    </w:p>
    <w:p w14:paraId="058C8845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A avaliação releva para a alteração do posicionamento remuneratório na categoria do docente, nos termos do ECPDESP e da demais legislação aplicável.</w:t>
      </w:r>
    </w:p>
    <w:p w14:paraId="7B54620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2 — A alteração obrigatória do posicionamento remuneratório para a posição imediatamente seguinte ocorre quando o docente </w:t>
      </w:r>
      <w:r>
        <w:rPr>
          <w:rFonts w:cs="Arial"/>
          <w:szCs w:val="22"/>
        </w:rPr>
        <w:t>obtenha a menção máxima num ciclo trienal de avaliação, sem prejuízo</w:t>
      </w:r>
      <w:r>
        <w:rPr>
          <w:rFonts w:cs="Arial"/>
          <w:szCs w:val="22"/>
        </w:rPr>
        <w:t xml:space="preserve"> de regime legal superveniente mais favorável.</w:t>
      </w:r>
    </w:p>
    <w:p w14:paraId="6F42AC9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>3 — O disposto no número anterior acolhe o regime mais favorável aplicável às carreiras docentes por força da legislação em vigor, em articulação com o artigo 35.º-C do ECPDESP e sem prejuízo das regras gerais da LTFP que sejam aplicáveis.</w:t>
      </w:r>
    </w:p>
    <w:p w14:paraId="6BE51B36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Sem prejuízo do disposto nos números anteriores, mantém-se aplicável o mecanismo regulamentar de acumulação de pontos previsto nos números seguintes, quando dele resulte solução mais favorável.</w:t>
      </w:r>
    </w:p>
    <w:p w14:paraId="1E02797B" w14:textId="77777777" w:rsidR="008D4FAF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5 — Para efeitos do mecanismo de acumulação previsto no n.º 4, à menção qualitativa obtida em cada ciclo de avaliação corresponde a atribuição da seguinte pontuação, em harmonização com o regime aplicável ao pessoal investigador:</w:t>
      </w:r>
    </w:p>
    <w:p w14:paraId="55484B74" w14:textId="11DDE761" w:rsidR="008D4FAF" w:rsidRPr="008D4FAF" w:rsidRDefault="006E09A9" w:rsidP="008D4FAF">
      <w:pPr>
        <w:pStyle w:val="PargrafodaLista"/>
        <w:numPr>
          <w:ilvl w:val="0"/>
          <w:numId w:val="45"/>
        </w:numPr>
        <w:spacing w:before="120" w:after="0" w:line="360" w:lineRule="auto"/>
        <w:ind w:left="992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Excelente: seis pontos;</w:t>
      </w:r>
    </w:p>
    <w:p w14:paraId="0E1A69C8" w14:textId="661168E1" w:rsidR="008D4FAF" w:rsidRPr="008D4FAF" w:rsidRDefault="006E09A9" w:rsidP="008D4FAF">
      <w:pPr>
        <w:pStyle w:val="PargrafodaLista"/>
        <w:numPr>
          <w:ilvl w:val="0"/>
          <w:numId w:val="45"/>
        </w:numPr>
        <w:spacing w:before="120" w:after="0" w:line="360" w:lineRule="auto"/>
        <w:ind w:left="992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Relevante: quatro pontos;</w:t>
      </w:r>
    </w:p>
    <w:p w14:paraId="6794B7A9" w14:textId="26CC4C02" w:rsidR="008D4FAF" w:rsidRPr="008D4FAF" w:rsidRDefault="006E09A9" w:rsidP="008D4FAF">
      <w:pPr>
        <w:pStyle w:val="PargrafodaLista"/>
        <w:numPr>
          <w:ilvl w:val="0"/>
          <w:numId w:val="45"/>
        </w:numPr>
        <w:spacing w:before="120" w:after="0" w:line="360" w:lineRule="auto"/>
        <w:ind w:left="992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Regular: dois pontos;</w:t>
      </w:r>
    </w:p>
    <w:p w14:paraId="4F51E386" w14:textId="1456CC8A" w:rsidR="00FE2BEB" w:rsidRPr="008D4FAF" w:rsidRDefault="006E09A9" w:rsidP="008D4FAF">
      <w:pPr>
        <w:pStyle w:val="PargrafodaLista"/>
        <w:numPr>
          <w:ilvl w:val="0"/>
          <w:numId w:val="45"/>
        </w:numPr>
        <w:spacing w:before="120" w:after="0" w:line="360" w:lineRule="auto"/>
        <w:ind w:left="992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Insuficiente: um ponto negativo.</w:t>
      </w:r>
    </w:p>
    <w:p w14:paraId="13925DBB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6 — Opera a alteração do posicionamento remuneratório, nos termos e com os limites previstos no artigo 29.º, quando o docente atinja um total acumulado mínimo de 10 pontos na posição remuneratória em que se encontra, sendo considerados os pontos acumulados desde a última alteração do posicionamento.</w:t>
      </w:r>
    </w:p>
    <w:p w14:paraId="71227E6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7 — Quando as disponibilidades orçamentais não permitam abranger todos os docentes que reúnam as condições do número anterior, estes são ordenados por ordem decrescente, relevando consecutivamente a pontuação acumulada, a antiguidade na posição remuneratória, o tempo de serviço na categoria e o tempo de exercício de funções públicas.</w:t>
      </w:r>
    </w:p>
    <w:p w14:paraId="53596EAB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29.º</w:t>
      </w:r>
    </w:p>
    <w:p w14:paraId="28F78A30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Execução orçamental</w:t>
      </w:r>
    </w:p>
    <w:p w14:paraId="3B7D14C7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As alterações do posicionamento remuneratório produzem efeitos nos termos do ECPDESP e da demais legislação aplicável.</w:t>
      </w:r>
    </w:p>
    <w:p w14:paraId="4892D8C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execução dos efeitos remuneratórios observa:</w:t>
      </w:r>
    </w:p>
    <w:p w14:paraId="44924260" w14:textId="77777777" w:rsidR="00FE2BEB" w:rsidRPr="00DE2E77" w:rsidRDefault="006E09A9" w:rsidP="008D4FAF">
      <w:pPr>
        <w:pStyle w:val="PargrafodaLista"/>
        <w:numPr>
          <w:ilvl w:val="0"/>
          <w:numId w:val="43"/>
        </w:numPr>
        <w:spacing w:before="120" w:after="0" w:line="360" w:lineRule="auto"/>
        <w:ind w:left="992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Os limites financeiros legalmente fixados;</w:t>
      </w:r>
    </w:p>
    <w:p w14:paraId="3A0923AF" w14:textId="77777777" w:rsidR="00FE2BEB" w:rsidRPr="00DE2E77" w:rsidRDefault="006E09A9" w:rsidP="008D4FAF">
      <w:pPr>
        <w:pStyle w:val="PargrafodaLista"/>
        <w:numPr>
          <w:ilvl w:val="0"/>
          <w:numId w:val="43"/>
        </w:numPr>
        <w:spacing w:before="120" w:after="0" w:line="360" w:lineRule="auto"/>
        <w:ind w:left="992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A existência de cabimento e dotação orçamental;</w:t>
      </w:r>
    </w:p>
    <w:p w14:paraId="0BAABD01" w14:textId="77777777" w:rsidR="00FE2BEB" w:rsidRPr="00DE2E77" w:rsidRDefault="006E09A9" w:rsidP="008D4FAF">
      <w:pPr>
        <w:pStyle w:val="PargrafodaLista"/>
        <w:numPr>
          <w:ilvl w:val="0"/>
          <w:numId w:val="43"/>
        </w:numPr>
        <w:spacing w:before="120" w:after="0" w:line="360" w:lineRule="auto"/>
        <w:ind w:left="992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As normas legais e orçamentais vigentes em cada ano económico;</w:t>
      </w:r>
    </w:p>
    <w:p w14:paraId="30218D55" w14:textId="77777777" w:rsidR="00FE2BEB" w:rsidRPr="00DE2E77" w:rsidRDefault="006E09A9" w:rsidP="008D4FAF">
      <w:pPr>
        <w:pStyle w:val="PargrafodaLista"/>
        <w:numPr>
          <w:ilvl w:val="0"/>
          <w:numId w:val="43"/>
        </w:numPr>
        <w:spacing w:before="120" w:after="0" w:line="360" w:lineRule="auto"/>
        <w:ind w:left="992" w:hanging="425"/>
        <w:contextualSpacing w:val="0"/>
        <w:jc w:val="both"/>
        <w:rPr>
          <w:rFonts w:ascii="Arial" w:hAnsi="Arial"/>
        </w:rPr>
      </w:pPr>
      <w:r>
        <w:rPr>
          <w:rFonts w:ascii="Arial" w:hAnsi="Arial"/>
        </w:rPr>
        <w:t>Os atos legais ou governamentais aplicáveis à assunção de encargos.</w:t>
      </w:r>
    </w:p>
    <w:p w14:paraId="1237B1A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3 — </w:t>
      </w:r>
      <w:r>
        <w:rPr>
          <w:rFonts w:cs="Arial"/>
          <w:szCs w:val="22"/>
        </w:rPr>
        <w:t>A UPSantarém</w:t>
      </w:r>
      <w:r>
        <w:rPr>
          <w:rFonts w:cs="Arial"/>
          <w:szCs w:val="22"/>
        </w:rPr>
        <w:t xml:space="preserve"> promove, quando aplicável, as diligências necessárias junto da tutela para assegurar a adequada previsão orçamental dos encargos legalmente devidos.</w:t>
      </w:r>
    </w:p>
    <w:p w14:paraId="7DA7EB5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As medidas internas de gestão orçamental não prejudicam direitos legalmente constituídos.</w:t>
      </w:r>
    </w:p>
    <w:p w14:paraId="2DFD9E30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5 — As medidas internas de gestão orçamental não podem introduzir diferenciações entre docentes ou unidades orgânicas sem fundamento legal, objetivo, transparente e previamente definido.</w:t>
      </w:r>
    </w:p>
    <w:p w14:paraId="258690F4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CAPÍTULO VI</w:t>
      </w:r>
    </w:p>
    <w:p w14:paraId="36739504" w14:textId="77777777" w:rsidR="00FE2BEB" w:rsidRPr="00DE2E77" w:rsidRDefault="006E09A9" w:rsidP="008D4FAF">
      <w:pPr>
        <w:spacing w:after="240" w:line="360" w:lineRule="auto"/>
        <w:jc w:val="center"/>
        <w:rPr>
          <w:rFonts w:cs="Arial"/>
          <w:caps/>
          <w:szCs w:val="22"/>
        </w:rPr>
      </w:pPr>
      <w:r>
        <w:rPr>
          <w:rFonts w:cs="Arial"/>
          <w:b/>
          <w:caps/>
          <w:szCs w:val="22"/>
        </w:rPr>
        <w:t>Disposições finais e transitórias</w:t>
      </w:r>
    </w:p>
    <w:p w14:paraId="0B289306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30.º</w:t>
      </w:r>
    </w:p>
    <w:p w14:paraId="2E9CF51E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Docentes a tempo parcial e docentes contratados a termo</w:t>
      </w:r>
    </w:p>
    <w:p w14:paraId="5674529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A avaliação dos docentes em regime de tempo parcial observa o princípio da proporcionalidade ao período de prestação efetiva de funções.</w:t>
      </w:r>
    </w:p>
    <w:p w14:paraId="4792659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t xml:space="preserve">2 — A avaliação dos docentes contratados a termo é efetuada anualmente e deve estar concluída antes da decisão sobre a renovação do contrato, constituindo a avaliação positiva condição da respetiva renovação; o mesmo regime é aplicável </w:t>
      </w:r>
      <w:r>
        <w:rPr/>
        <w:t>à nova contratação de docente que tenha prestado serviço docente na UPSantarém no ano letivo anterior.</w:t>
      </w:r>
      <w:r/>
    </w:p>
    <w:p w14:paraId="56513FA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avaliação prevista no número anterior tem por base relatório sintético de atividade, apresentado pelo docente nos termos e prazos fixados pelo Conselho Científico.</w:t>
      </w:r>
    </w:p>
    <w:p w14:paraId="1401AF18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A avaliação é expressa numa das menções previstas no n.º 4 do artigo 9.º, precedida de audiência prévia do docente, aprovada pelo Conselho Científico e homologada pelo Reitor da UPSantarém.</w:t>
      </w:r>
    </w:p>
    <w:p w14:paraId="767D00D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5</w:t>
      </w:r>
      <w:r>
        <w:rPr>
          <w:rFonts w:cs="Arial"/>
          <w:szCs w:val="22"/>
        </w:rPr>
        <w:t xml:space="preserve"> — Aplica-se o regime de reclamação e impugnação previsto nos artigos 26.º e 27.º.</w:t>
      </w:r>
    </w:p>
    <w:p w14:paraId="34970D08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31.º</w:t>
      </w:r>
    </w:p>
    <w:p w14:paraId="21DBB15E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Contagem de prazos</w:t>
      </w:r>
    </w:p>
    <w:p w14:paraId="0430253D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Os prazos previstos no presente Regulamento contam-se em dias úteis.</w:t>
      </w:r>
    </w:p>
    <w:p w14:paraId="4611509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Os prazos para a prática de atos pelos docentes contam-se a partir do dia seguinte ao da notificação.</w:t>
      </w:r>
    </w:p>
    <w:p w14:paraId="214D192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As atividades procedimentais previstas no presente Regulamento suspendem-se durante o mês de agosto.</w:t>
      </w:r>
    </w:p>
    <w:p w14:paraId="25CBC444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32.º</w:t>
      </w:r>
    </w:p>
    <w:p w14:paraId="15353448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Melhoria contínua</w:t>
      </w:r>
    </w:p>
    <w:p w14:paraId="35235DE3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No final de cada ciclo, o CCADPD avalia a aplicação do regime.</w:t>
      </w:r>
    </w:p>
    <w:p w14:paraId="28D59BFE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A avaliação referida no número anterior pondera a necessidade de revisão da grelha aplicável ao ciclo seguinte.</w:t>
      </w:r>
    </w:p>
    <w:p w14:paraId="25CE208A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revisão da grelha observa o procedimento previsto no artigo 8.º.</w:t>
      </w:r>
    </w:p>
    <w:p w14:paraId="64F33EBB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33.º</w:t>
      </w:r>
    </w:p>
    <w:p w14:paraId="62BA8936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Casos omissos</w:t>
      </w:r>
    </w:p>
    <w:p w14:paraId="292ED16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1 — As dúvidas de interpretação e os casos omissos são resolvidos por despacho do </w:t>
      </w:r>
      <w:r>
        <w:rPr>
          <w:rFonts w:cs="Arial"/>
          <w:szCs w:val="22"/>
        </w:rPr>
        <w:t>Reito</w:t>
      </w:r>
      <w:r>
        <w:rPr>
          <w:rFonts w:cs="Arial"/>
          <w:szCs w:val="22"/>
        </w:rPr>
        <w:t xml:space="preserve">r </w:t>
      </w:r>
      <w:r>
        <w:rPr>
          <w:rFonts w:cs="Arial"/>
          <w:szCs w:val="22"/>
        </w:rPr>
        <w:t>da UPSantarém</w:t>
      </w:r>
      <w:r>
        <w:rPr>
          <w:rFonts w:cs="Arial"/>
          <w:szCs w:val="22"/>
        </w:rPr>
        <w:t>, ouvido o CCADPD.</w:t>
      </w:r>
    </w:p>
    <w:p w14:paraId="0425499F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O despacho previsto no número anterior limita-se à interpretação e aplicação do presente Regulamento.</w:t>
      </w:r>
    </w:p>
    <w:p w14:paraId="25861861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Quando a matéria exija norma geral e abstrata, procede-se à alteração regulamentar nos termos legalmente aplicáveis.</w:t>
      </w:r>
    </w:p>
    <w:p w14:paraId="7B86DA9D" w14:textId="77777777" w:rsidR="008D4FAF" w:rsidRDefault="008D4FAF" w:rsidP="008D4FAF">
      <w:pPr>
        <w:spacing w:before="240" w:line="360" w:lineRule="auto"/>
        <w:jc w:val="center"/>
        <w:rPr>
          <w:rFonts w:cs="Arial"/>
          <w:b/>
          <w:szCs w:val="22"/>
        </w:rPr>
      </w:pPr>
    </w:p>
    <w:p w14:paraId="13BF9BC7" w14:textId="77777777" w:rsidR="008D4FAF" w:rsidRDefault="008D4FAF" w:rsidP="008D4FAF">
      <w:pPr>
        <w:spacing w:before="240" w:line="360" w:lineRule="auto"/>
        <w:jc w:val="center"/>
        <w:rPr>
          <w:rFonts w:cs="Arial"/>
          <w:b/>
          <w:szCs w:val="22"/>
        </w:rPr>
      </w:pPr>
    </w:p>
    <w:p w14:paraId="2461FCE2" w14:textId="7F7DAF6B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34.º</w:t>
      </w:r>
    </w:p>
    <w:p w14:paraId="5E2F340E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Norma transitória e revogatória</w:t>
      </w:r>
    </w:p>
    <w:p w14:paraId="53ECE1A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1 — O presente Regulamento aplica-se ao ciclo avaliativo de 2027-2029 e aos ciclos subsequentes.</w:t>
      </w:r>
    </w:p>
    <w:p w14:paraId="41992147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2 — O regime anterior mantém-se aplicável aos ciclos já iniciados ou concluídos, incluindo o ciclo de 2024-2026.</w:t>
      </w:r>
    </w:p>
    <w:p w14:paraId="2A9E6C53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3 — A aplicação do regime anterior mantém-se até à conclusão integral dos respetivos procedimentos de avaliação, reclamação, impugnação e produção de efeitos.</w:t>
      </w:r>
    </w:p>
    <w:p w14:paraId="1AAE633A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4 — Os pontos acumulados ao abrigo do regime anterior são considerados nos termos legalmente aplicáveis e sem prejuízo das situações jurídicas constituídas.</w:t>
      </w:r>
    </w:p>
    <w:p w14:paraId="2F216EF4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5 — Sem prejuízo do disposto nos n.ºs 2 e 3, são revogados o Regulamento aprovado pelo Despacho n.º 8706/2011, de 28 de junho, e os Despachos n.ºs 11216/2021, de 15 de novembro, 7348/2023, de 12 de julho, e 815/2025, de 17 de janeiro, que aprovaram ou alteraram a respetiva grelha de avaliação.</w:t>
      </w:r>
    </w:p>
    <w:p w14:paraId="30AA5A09" w14:textId="77777777" w:rsidR="00FE2BEB" w:rsidRPr="00DE2E77" w:rsidRDefault="006E09A9" w:rsidP="008D4FAF">
      <w:pPr>
        <w:spacing w:before="24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Artigo 35.º</w:t>
      </w:r>
    </w:p>
    <w:p w14:paraId="124CEB7B" w14:textId="77777777" w:rsidR="00FE2BEB" w:rsidRPr="00DE2E77" w:rsidRDefault="006E09A9" w:rsidP="008D4FAF">
      <w:pPr>
        <w:spacing w:after="120" w:line="360" w:lineRule="auto"/>
        <w:jc w:val="center"/>
        <w:rPr>
          <w:rFonts w:cs="Arial"/>
          <w:szCs w:val="22"/>
        </w:rPr>
      </w:pPr>
      <w:r>
        <w:rPr>
          <w:rFonts w:cs="Arial"/>
          <w:b/>
          <w:szCs w:val="22"/>
        </w:rPr>
        <w:t>Entrada em vigor</w:t>
      </w:r>
    </w:p>
    <w:p w14:paraId="2BF289DA" w14:textId="77777777" w:rsidR="00FE2BEB" w:rsidRPr="00DE2E77" w:rsidRDefault="006E09A9" w:rsidP="008D4FAF">
      <w:pPr>
        <w:spacing w:before="120"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O presente Regulamento entra em vigor no dia seguinte ao da sua publicação no Diário da República.</w:t>
      </w:r>
    </w:p>
    <w:p w14:paraId="129F4491" w14:textId="77777777" w:rsidR="00875C7C" w:rsidRPr="00DE2E77" w:rsidRDefault="00875C7C" w:rsidP="00875C7C">
      <w:pPr>
        <w:spacing w:before="120" w:line="300" w:lineRule="atLeast"/>
        <w:jc w:val="center"/>
        <w:rPr>
          <w:rFonts w:cs="Arial"/>
          <w:szCs w:val="22"/>
        </w:rPr>
      </w:pPr>
    </w:p>
    <w:p w14:paraId="03163663" w14:textId="77777777" w:rsidR="00FE2BEB" w:rsidRPr="00DE2E77" w:rsidRDefault="00FE2BEB" w:rsidP="00875C7C">
      <w:pPr>
        <w:spacing w:before="120" w:line="300" w:lineRule="atLeast"/>
        <w:jc w:val="center"/>
        <w:rPr>
          <w:rFonts w:cs="Arial"/>
          <w:szCs w:val="22"/>
        </w:rPr>
      </w:pPr>
    </w:p>
    <w:p w14:paraId="063120ED" w14:textId="77777777" w:rsidR="00FE2BEB" w:rsidRPr="00CD02E5" w:rsidRDefault="00FE2BEB" w:rsidP="00875C7C">
      <w:pPr>
        <w:spacing w:before="120" w:line="300" w:lineRule="atLeast"/>
        <w:jc w:val="center"/>
        <w:rPr>
          <w:rFonts w:cs="Arial"/>
          <w:szCs w:val="22"/>
        </w:rPr>
      </w:pPr>
    </w:p>
    <w:p w14:paraId="7BECCF4C" w14:textId="77777777" w:rsidR="00A34389" w:rsidRDefault="00B20431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436EBC86" w14:textId="0A432B9D" w:rsidR="00A34389" w:rsidRPr="008D4FAF" w:rsidRDefault="006E09A9" w:rsidP="00875C7C">
      <w:pPr>
        <w:spacing w:before="120" w:line="300" w:lineRule="atLeast"/>
        <w:jc w:val="center"/>
        <w:rPr>
          <w:rFonts w:cs="Arial"/>
          <w:b/>
          <w:bCs/>
          <w:caps/>
          <w:szCs w:val="22"/>
        </w:rPr>
      </w:pPr>
      <w:r>
        <w:rPr>
          <w:rFonts w:cs="Arial"/>
          <w:b/>
          <w:bCs/>
          <w:caps/>
          <w:szCs w:val="22"/>
        </w:rPr>
        <w:lastRenderedPageBreak/>
        <w:t>Anexo I</w:t>
      </w:r>
    </w:p>
    <w:p w14:paraId="52BEEFD5" w14:textId="77777777" w:rsidR="00FE2BEB" w:rsidRPr="008D4FAF" w:rsidRDefault="006E09A9" w:rsidP="00875C7C">
      <w:pPr>
        <w:spacing w:before="120" w:line="300" w:lineRule="atLeast"/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[Grelha Harmonizada de Avaliação do Desempenho — Docentes e Investigadores (vertentes, parâmetros, indicadores, pontos base, bonificações e penalizações, tetos, ponderações e pontuações de referência).]</w:t>
      </w:r>
    </w:p>
    <w:p w14:paraId="10506010" w14:textId="77777777" w:rsidR="00A34389" w:rsidRPr="008D4FAF" w:rsidRDefault="00FE1761" w:rsidP="00875C7C">
      <w:pPr>
        <w:spacing w:before="120" w:line="300" w:lineRule="atLeast"/>
        <w:jc w:val="center"/>
        <w:rPr>
          <w:rFonts w:cs="Arial"/>
          <w:b/>
          <w:bCs/>
          <w:szCs w:val="22"/>
        </w:rPr>
      </w:pPr>
    </w:p>
    <w:p w14:paraId="007ACBC2" w14:textId="77777777" w:rsidR="00A34389" w:rsidRDefault="00B20431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5E373774" w14:textId="07573F00" w:rsidR="00A34389" w:rsidRPr="008D4FAF" w:rsidRDefault="006E09A9" w:rsidP="00875C7C">
      <w:pPr>
        <w:spacing w:before="120" w:line="300" w:lineRule="atLeast"/>
        <w:jc w:val="center"/>
        <w:rPr>
          <w:rFonts w:cs="Arial"/>
          <w:b/>
          <w:bCs/>
          <w:caps/>
          <w:szCs w:val="22"/>
        </w:rPr>
      </w:pPr>
      <w:r>
        <w:rPr>
          <w:rFonts w:cs="Arial"/>
          <w:b/>
          <w:bCs/>
          <w:caps/>
          <w:szCs w:val="22"/>
        </w:rPr>
        <w:lastRenderedPageBreak/>
        <w:t>Anexo II</w:t>
      </w:r>
    </w:p>
    <w:p w14:paraId="0203A2B6" w14:textId="77777777" w:rsidR="00FE2BEB" w:rsidRPr="008D4FAF" w:rsidRDefault="00B20431" w:rsidP="00875C7C">
      <w:pPr>
        <w:spacing w:before="120" w:line="300" w:lineRule="atLeast"/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[Síntese reflexiva (modelo de relatório de autoavaliação).]</w:t>
      </w:r>
    </w:p>
    <w:sectPr w:rsidR="00FE2BEB" w:rsidRPr="008D4FAF" w:rsidSect="00520002">
      <w:headerReference w:type="default" r:id="rId10"/>
      <w:footerReference w:type="default" r:id="rId11"/>
      <w:pgSz w:w="11906" w:h="16838"/>
      <w:pgMar w:top="1985" w:right="1418" w:bottom="1418" w:left="1418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33EB7C" w14:textId="77777777" w:rsidR="00FE1761" w:rsidRDefault="00FE1761">
      <w:r>
        <w:separator/>
      </w:r>
    </w:p>
  </w:endnote>
  <w:endnote w:type="continuationSeparator" w:id="0">
    <w:p w14:paraId="30586D48" w14:textId="77777777" w:rsidR="00FE1761" w:rsidRDefault="00FE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DejaVu Sans">
    <w:altName w:val="Verdan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NewRomanPS-ItalicMT">
    <w:altName w:val="Times New Roman"/>
    <w:panose1 w:val="02020503050405090304"/>
    <w:charset w:val="00"/>
    <w:family w:val="roman"/>
    <w:notTrueType/>
    <w:pitch w:val="default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 Medium;Arial">
    <w:altName w:val="Arial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99F8E0" w14:textId="77777777" w:rsidR="00D40B39" w:rsidRPr="00463380" w:rsidRDefault="00427C7E">
    <w:pPr>
      <w:pStyle w:val="Rodap"/>
      <w:pBdr>
        <w:top w:val="single" w:sz="4" w:space="1" w:color="000000"/>
      </w:pBdr>
      <w:spacing w:before="80"/>
      <w:jc w:val="both"/>
      <w:rPr>
        <w:rFonts w:ascii="Roboto Medium;Arial" w:hAnsi="Roboto Medium;Arial" w:cs="Arial"/>
        <w:sz w:val="18"/>
        <w:szCs w:val="18"/>
        <w:lang w:val="pt-PT"/>
      </w:rPr>
    </w:pPr>
    <w:r w:rsidRPr="00463380">
      <w:rPr>
        <w:rFonts w:ascii="Roboto Medium;Arial" w:hAnsi="Roboto Medium;Arial" w:cs="Arial"/>
        <w:sz w:val="18"/>
        <w:szCs w:val="18"/>
        <w:lang w:val="pt-PT"/>
      </w:rPr>
      <w:t>Complexo Andaluz – Moinho do Fau – Apartado 279 – 2001-904 SANTARÉM</w:t>
    </w:r>
  </w:p>
  <w:p w14:paraId="08ED71AF" w14:textId="77777777" w:rsidR="00D40B39" w:rsidRPr="00463380" w:rsidRDefault="00427C7E">
    <w:pPr>
      <w:pStyle w:val="Rodap"/>
      <w:spacing w:before="80"/>
      <w:jc w:val="both"/>
      <w:rPr>
        <w:rFonts w:ascii="Roboto Medium;Arial" w:hAnsi="Roboto Medium;Arial" w:cs="Arial"/>
        <w:sz w:val="18"/>
        <w:szCs w:val="18"/>
        <w:lang w:val="pt-PT"/>
      </w:rPr>
    </w:pPr>
    <w:r w:rsidRPr="00463380">
      <w:rPr>
        <w:rFonts w:ascii="Roboto Medium;Arial" w:hAnsi="Roboto Medium;Arial" w:cs="Arial"/>
        <w:sz w:val="18"/>
        <w:szCs w:val="18"/>
        <w:lang w:val="pt-PT"/>
      </w:rPr>
      <w:t xml:space="preserve">Tel.: </w:t>
    </w:r>
    <w:r>
      <w:rPr>
        <w:rFonts w:ascii="Roboto Medium;Arial" w:hAnsi="Roboto Medium;Arial" w:cs="Arial"/>
        <w:sz w:val="18"/>
        <w:szCs w:val="18"/>
        <w:lang w:val="pt-PT"/>
      </w:rPr>
      <w:t xml:space="preserve">351 </w:t>
    </w:r>
    <w:r w:rsidRPr="00463380">
      <w:rPr>
        <w:rFonts w:ascii="Roboto Medium;Arial" w:hAnsi="Roboto Medium;Arial" w:cs="Arial"/>
        <w:sz w:val="18"/>
        <w:szCs w:val="18"/>
        <w:lang w:val="pt-PT"/>
      </w:rPr>
      <w:t>243 309 520 – Fax: 243 309 539</w:t>
    </w:r>
    <w:r>
      <w:rPr>
        <w:rFonts w:ascii="Roboto Medium;Arial" w:hAnsi="Roboto Medium;Arial" w:cs="Arial"/>
        <w:sz w:val="18"/>
        <w:szCs w:val="18"/>
        <w:lang w:val="pt-PT"/>
      </w:rPr>
      <w:t xml:space="preserve"> </w:t>
    </w:r>
    <w:r w:rsidRPr="00463380">
      <w:rPr>
        <w:rFonts w:ascii="Roboto Medium;Arial" w:hAnsi="Roboto Medium;Arial" w:cs="Arial"/>
        <w:sz w:val="18"/>
        <w:szCs w:val="18"/>
        <w:lang w:val="pt-PT"/>
      </w:rPr>
      <w:t>–</w:t>
    </w:r>
    <w:r>
      <w:rPr>
        <w:rFonts w:ascii="Roboto Medium;Arial" w:hAnsi="Roboto Medium;Arial" w:cs="Arial"/>
        <w:sz w:val="18"/>
        <w:szCs w:val="18"/>
        <w:lang w:val="pt-PT"/>
      </w:rPr>
      <w:t xml:space="preserve"> </w:t>
    </w:r>
    <w:r w:rsidRPr="00463380">
      <w:rPr>
        <w:rFonts w:ascii="Roboto Medium;Arial" w:hAnsi="Roboto Medium;Arial" w:cs="Arial"/>
        <w:sz w:val="18"/>
        <w:szCs w:val="18"/>
        <w:lang w:val="pt-PT"/>
      </w:rPr>
      <w:t xml:space="preserve">E-mail: </w:t>
    </w:r>
    <w:hyperlink r:id="rId1">
      <w:r w:rsidRPr="00463380">
        <w:rPr>
          <w:rStyle w:val="Hiperligao"/>
          <w:rFonts w:ascii="Roboto Medium;Arial" w:hAnsi="Roboto Medium;Arial" w:cs="Arial"/>
          <w:color w:val="000000"/>
          <w:sz w:val="18"/>
          <w:szCs w:val="18"/>
          <w:lang w:val="pt-PT"/>
        </w:rPr>
        <w:t>geral@ipsantarem.pt</w:t>
      </w:r>
    </w:hyperlink>
    <w:r>
      <w:rPr>
        <w:rFonts w:ascii="Roboto Medium;Arial" w:hAnsi="Roboto Medium;Arial" w:cs="Arial"/>
        <w:sz w:val="18"/>
        <w:szCs w:val="18"/>
        <w:lang w:val="pt-PT"/>
      </w:rPr>
      <w:t xml:space="preserve"> </w:t>
    </w:r>
    <w:r w:rsidRPr="00463380">
      <w:rPr>
        <w:rFonts w:ascii="Roboto Medium;Arial" w:hAnsi="Roboto Medium;Arial" w:cs="Arial"/>
        <w:sz w:val="18"/>
        <w:szCs w:val="18"/>
        <w:lang w:val="pt-PT"/>
      </w:rPr>
      <w:t xml:space="preserve">– URL: </w:t>
    </w:r>
    <w:hyperlink r:id="rId2">
      <w:r w:rsidRPr="00463380">
        <w:rPr>
          <w:rStyle w:val="Hiperligao"/>
          <w:rFonts w:ascii="Roboto Medium;Arial" w:hAnsi="Roboto Medium;Arial" w:cs="Arial"/>
          <w:color w:val="000000"/>
          <w:sz w:val="18"/>
          <w:szCs w:val="18"/>
          <w:lang w:val="pt-PT"/>
        </w:rPr>
        <w:t>www.ipsantarem.pt</w:t>
      </w:r>
    </w:hyperlink>
  </w:p>
  <w:p w14:paraId="182F04EB" w14:textId="77777777" w:rsidR="00D40B39" w:rsidRPr="00463380" w:rsidRDefault="00427C7E">
    <w:pPr>
      <w:pStyle w:val="Rodap"/>
      <w:tabs>
        <w:tab w:val="clear" w:pos="4252"/>
        <w:tab w:val="clear" w:pos="8504"/>
        <w:tab w:val="right" w:pos="9923"/>
      </w:tabs>
      <w:spacing w:before="80"/>
      <w:ind w:right="-2"/>
      <w:rPr>
        <w:rFonts w:ascii="Roboto Medium;Arial" w:hAnsi="Roboto Medium;Arial" w:cs="Roboto Medium;Arial"/>
        <w:b/>
        <w:bCs/>
        <w:sz w:val="18"/>
        <w:szCs w:val="18"/>
        <w:lang w:val="pt-PT"/>
      </w:rPr>
    </w:pPr>
    <w:r w:rsidRPr="00463380">
      <w:rPr>
        <w:rFonts w:ascii="Roboto Medium;Arial" w:hAnsi="Roboto Medium;Arial" w:cs="Roboto Medium;Arial"/>
        <w:sz w:val="18"/>
        <w:szCs w:val="18"/>
        <w:lang w:val="pt-PT"/>
      </w:rPr>
      <w:tab/>
    </w:r>
  </w:p>
  <w:p w14:paraId="5EDC63A4" w14:textId="77777777" w:rsidR="00D40B39" w:rsidRDefault="00427C7E">
    <w:pPr>
      <w:pStyle w:val="Rodap"/>
      <w:tabs>
        <w:tab w:val="clear" w:pos="4252"/>
        <w:tab w:val="clear" w:pos="8504"/>
        <w:tab w:val="right" w:pos="9923"/>
      </w:tabs>
      <w:spacing w:before="80"/>
      <w:ind w:right="-2"/>
    </w:pPr>
    <w:r>
      <w:rPr>
        <w:rFonts w:ascii="Roboto Medium;Arial" w:hAnsi="Roboto Medium;Arial" w:cs="Roboto Medium;Arial"/>
        <w:sz w:val="18"/>
        <w:szCs w:val="18"/>
      </w:rPr>
      <w:t>Mod.276.R01-13-09-2021</w:t>
    </w:r>
    <w:r>
      <w:rPr>
        <w:rFonts w:ascii="Roboto Medium;Arial" w:hAnsi="Roboto Medium;Arial" w:cs="Roboto Medium;Arial"/>
        <w:sz w:val="18"/>
        <w:szCs w:val="18"/>
        <w:lang w:val="pt-PT"/>
      </w:rPr>
      <w:t xml:space="preserve">                                                                                                                 </w:t>
    </w:r>
    <w:r>
      <w:rPr>
        <w:rFonts w:ascii="Roboto Medium;Arial" w:hAnsi="Roboto Medium;Arial" w:cs="Roboto Medium;Arial"/>
        <w:sz w:val="18"/>
        <w:szCs w:val="18"/>
      </w:rPr>
      <w:t xml:space="preserve">Página </w:t>
    </w:r>
    <w:r>
      <w:rPr>
        <w:rFonts w:ascii="Roboto Medium;Arial" w:hAnsi="Roboto Medium;Arial" w:cs="Roboto Medium;Arial"/>
        <w:b/>
        <w:bCs/>
        <w:sz w:val="18"/>
        <w:szCs w:val="18"/>
      </w:rPr>
      <w:fldChar w:fldCharType="begin"/>
    </w:r>
    <w:r>
      <w:rPr>
        <w:rFonts w:ascii="Roboto Medium;Arial" w:hAnsi="Roboto Medium;Arial" w:cs="Roboto Medium;Arial"/>
        <w:b/>
        <w:bCs/>
        <w:sz w:val="18"/>
        <w:szCs w:val="18"/>
      </w:rPr>
      <w:instrText xml:space="preserve"> PAGE </w:instrText>
    </w:r>
    <w:r>
      <w:rPr>
        <w:rFonts w:ascii="Roboto Medium;Arial" w:hAnsi="Roboto Medium;Arial" w:cs="Roboto Medium;Arial"/>
        <w:b/>
        <w:bCs/>
        <w:sz w:val="18"/>
        <w:szCs w:val="18"/>
      </w:rPr>
      <w:fldChar w:fldCharType="separate"/>
    </w:r>
    <w:r w:rsidR="003710F8">
      <w:rPr>
        <w:rFonts w:ascii="Roboto Medium;Arial" w:hAnsi="Roboto Medium;Arial" w:cs="Roboto Medium;Arial"/>
        <w:b/>
        <w:bCs/>
        <w:noProof/>
        <w:sz w:val="18"/>
        <w:szCs w:val="18"/>
      </w:rPr>
      <w:t>17</w:t>
    </w:r>
    <w:r>
      <w:rPr>
        <w:rFonts w:ascii="Roboto Medium;Arial" w:hAnsi="Roboto Medium;Arial" w:cs="Roboto Medium;Arial"/>
        <w:b/>
        <w:bCs/>
        <w:sz w:val="18"/>
        <w:szCs w:val="18"/>
      </w:rPr>
      <w:fldChar w:fldCharType="end"/>
    </w:r>
    <w:r>
      <w:rPr>
        <w:rFonts w:ascii="Roboto Medium;Arial" w:hAnsi="Roboto Medium;Arial" w:cs="Roboto Medium;Arial"/>
        <w:sz w:val="18"/>
        <w:szCs w:val="18"/>
      </w:rPr>
      <w:t xml:space="preserve"> de </w:t>
    </w:r>
    <w:r>
      <w:rPr>
        <w:rFonts w:ascii="Roboto Medium;Arial" w:hAnsi="Roboto Medium;Arial" w:cs="Roboto Medium;Arial"/>
        <w:b/>
        <w:bCs/>
        <w:sz w:val="18"/>
        <w:szCs w:val="18"/>
      </w:rPr>
      <w:fldChar w:fldCharType="begin"/>
    </w:r>
    <w:r>
      <w:rPr>
        <w:rFonts w:ascii="Roboto Medium;Arial" w:hAnsi="Roboto Medium;Arial" w:cs="Roboto Medium;Arial"/>
        <w:b/>
        <w:bCs/>
        <w:sz w:val="18"/>
        <w:szCs w:val="18"/>
      </w:rPr>
      <w:instrText xml:space="preserve"> NUMPAGES \* ARABIC </w:instrText>
    </w:r>
    <w:r>
      <w:rPr>
        <w:rFonts w:ascii="Roboto Medium;Arial" w:hAnsi="Roboto Medium;Arial" w:cs="Roboto Medium;Arial"/>
        <w:b/>
        <w:bCs/>
        <w:sz w:val="18"/>
        <w:szCs w:val="18"/>
      </w:rPr>
      <w:fldChar w:fldCharType="separate"/>
    </w:r>
    <w:r w:rsidR="003710F8">
      <w:rPr>
        <w:rFonts w:ascii="Roboto Medium;Arial" w:hAnsi="Roboto Medium;Arial" w:cs="Roboto Medium;Arial"/>
        <w:b/>
        <w:bCs/>
        <w:noProof/>
        <w:sz w:val="18"/>
        <w:szCs w:val="18"/>
      </w:rPr>
      <w:t>23</w:t>
    </w:r>
    <w:r>
      <w:rPr>
        <w:rFonts w:ascii="Roboto Medium;Arial" w:hAnsi="Roboto Medium;Arial" w:cs="Roboto Medium;Arial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675843" w14:textId="77777777" w:rsidR="00FE1761" w:rsidRDefault="00FE1761">
      <w:r>
        <w:separator/>
      </w:r>
    </w:p>
  </w:footnote>
  <w:footnote w:type="continuationSeparator" w:id="0">
    <w:p w14:paraId="704E27F5" w14:textId="77777777" w:rsidR="00FE1761" w:rsidRDefault="00FE176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1BFE58" w14:textId="77777777" w:rsidR="00D40B39" w:rsidRDefault="00427C7E">
    <w:pPr>
      <w:spacing w:line="360" w:lineRule="atLeast"/>
      <w:jc w:val="both"/>
      <w:rPr>
        <w:rFonts w:cs="Arial"/>
        <w:szCs w:val="22"/>
      </w:rPr>
    </w:pPr>
    <w:r>
      <w:rPr>
        <w:rFonts w:cs="Arial"/>
        <w:noProof/>
        <w:szCs w:val="22"/>
        <w:lang w:eastAsia="pt-PT"/>
      </w:rPr>
      <w:drawing>
        <wp:inline distT="0" distB="0" distL="0" distR="0" wp14:anchorId="0683AAD2" wp14:editId="043CE47A">
          <wp:extent cx="1905000" cy="685800"/>
          <wp:effectExtent l="0" t="0" r="0" b="0"/>
          <wp:docPr id="1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52" r="-19" b="-52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AF94060" w14:textId="77777777" w:rsidR="00D40B39" w:rsidRDefault="00D40B39">
    <w:pPr>
      <w:pBdr>
        <w:bottom w:val="single" w:sz="4" w:space="1" w:color="000000"/>
      </w:pBdr>
      <w:spacing w:line="360" w:lineRule="atLeast"/>
      <w:jc w:val="both"/>
      <w:rPr>
        <w:rFonts w:cs="Arial"/>
        <w:szCs w:val="22"/>
      </w:rPr>
    </w:pPr>
  </w:p>
  <w:p w14:paraId="07276484" w14:textId="77777777" w:rsidR="00D40B39" w:rsidRDefault="00D40B39">
    <w:pPr>
      <w:spacing w:line="360" w:lineRule="atLeast"/>
      <w:jc w:val="both"/>
      <w:rPr>
        <w:rFonts w:cs="Arial"/>
        <w:szCs w:val="2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92D78"/>
    <w:multiLevelType w:val="hybridMultilevel"/>
    <w:tmpl w:val="B1908D6A"/>
    <w:lvl w:ilvl="0" w:tplc="C708F076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0235C2"/>
    <w:multiLevelType w:val="hybridMultilevel"/>
    <w:tmpl w:val="A226358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F1B19"/>
    <w:multiLevelType w:val="hybridMultilevel"/>
    <w:tmpl w:val="9426D8CA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0BA571AC"/>
    <w:multiLevelType w:val="hybridMultilevel"/>
    <w:tmpl w:val="469E8B1E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07805D8"/>
    <w:multiLevelType w:val="multilevel"/>
    <w:tmpl w:val="AF64FE9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Arial" w:eastAsia="Times New Roman" w:hAnsi="Arial" w:cs="Arial"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FE0EB1"/>
    <w:multiLevelType w:val="hybridMultilevel"/>
    <w:tmpl w:val="027C8D56"/>
    <w:lvl w:ilvl="0" w:tplc="BA4A420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1AC2A95"/>
    <w:multiLevelType w:val="hybridMultilevel"/>
    <w:tmpl w:val="BB0EC23A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6033237"/>
    <w:multiLevelType w:val="hybridMultilevel"/>
    <w:tmpl w:val="B2482338"/>
    <w:lvl w:ilvl="0" w:tplc="7E7010C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9D3658F"/>
    <w:multiLevelType w:val="hybridMultilevel"/>
    <w:tmpl w:val="D3C6F1E0"/>
    <w:lvl w:ilvl="0" w:tplc="C70A5A4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C1914EE"/>
    <w:multiLevelType w:val="hybridMultilevel"/>
    <w:tmpl w:val="E878DD5C"/>
    <w:lvl w:ilvl="0" w:tplc="D52479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CB73F6A"/>
    <w:multiLevelType w:val="hybridMultilevel"/>
    <w:tmpl w:val="F3662036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0BE51CF"/>
    <w:multiLevelType w:val="hybridMultilevel"/>
    <w:tmpl w:val="97B688AE"/>
    <w:lvl w:ilvl="0" w:tplc="C708F076">
      <w:start w:val="1"/>
      <w:numFmt w:val="lowerLetter"/>
      <w:lvlText w:val="%1)"/>
      <w:lvlJc w:val="left"/>
      <w:pPr>
        <w:ind w:left="928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0C97EA2"/>
    <w:multiLevelType w:val="hybridMultilevel"/>
    <w:tmpl w:val="DDCC8C24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6454D75"/>
    <w:multiLevelType w:val="multilevel"/>
    <w:tmpl w:val="A6909532"/>
    <w:lvl w:ilvl="0">
      <w:start w:val="1"/>
      <w:numFmt w:val="none"/>
      <w:pStyle w:val="Cabealh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abealh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7580FDB"/>
    <w:multiLevelType w:val="hybridMultilevel"/>
    <w:tmpl w:val="EAA670FA"/>
    <w:lvl w:ilvl="0" w:tplc="AEF4440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9A30AF8"/>
    <w:multiLevelType w:val="hybridMultilevel"/>
    <w:tmpl w:val="E522D62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1C39FB"/>
    <w:multiLevelType w:val="hybridMultilevel"/>
    <w:tmpl w:val="0D2EEED6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2CE10107"/>
    <w:multiLevelType w:val="hybridMultilevel"/>
    <w:tmpl w:val="2C1EDB4A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30A01D0D"/>
    <w:multiLevelType w:val="hybridMultilevel"/>
    <w:tmpl w:val="639A834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76BBD"/>
    <w:multiLevelType w:val="hybridMultilevel"/>
    <w:tmpl w:val="4F0E47C6"/>
    <w:lvl w:ilvl="0" w:tplc="0E342D0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3395B7A"/>
    <w:multiLevelType w:val="hybridMultilevel"/>
    <w:tmpl w:val="7B0A9BCA"/>
    <w:lvl w:ilvl="0" w:tplc="D10EBB5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3907022A"/>
    <w:multiLevelType w:val="hybridMultilevel"/>
    <w:tmpl w:val="03CACBD8"/>
    <w:lvl w:ilvl="0" w:tplc="98E0414A">
      <w:start w:val="1"/>
      <w:numFmt w:val="lowerLetter"/>
      <w:lvlText w:val="%1)"/>
      <w:lvlJc w:val="left"/>
      <w:pPr>
        <w:ind w:left="644" w:hanging="36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9792099"/>
    <w:multiLevelType w:val="hybridMultilevel"/>
    <w:tmpl w:val="857A10DC"/>
    <w:lvl w:ilvl="0" w:tplc="D0084B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C5C475E"/>
    <w:multiLevelType w:val="hybridMultilevel"/>
    <w:tmpl w:val="401E505C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3C747FF5"/>
    <w:multiLevelType w:val="hybridMultilevel"/>
    <w:tmpl w:val="7458C75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AE7011"/>
    <w:multiLevelType w:val="hybridMultilevel"/>
    <w:tmpl w:val="FAEAAE82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3F3B7745"/>
    <w:multiLevelType w:val="hybridMultilevel"/>
    <w:tmpl w:val="E9EEDA82"/>
    <w:lvl w:ilvl="0" w:tplc="33161F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447C1464"/>
    <w:multiLevelType w:val="hybridMultilevel"/>
    <w:tmpl w:val="22465776"/>
    <w:lvl w:ilvl="0" w:tplc="A8DC7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45FB6616"/>
    <w:multiLevelType w:val="hybridMultilevel"/>
    <w:tmpl w:val="73D2AA2A"/>
    <w:lvl w:ilvl="0" w:tplc="C708F076">
      <w:start w:val="1"/>
      <w:numFmt w:val="lowerLetter"/>
      <w:lvlText w:val="%1)"/>
      <w:lvlJc w:val="left"/>
      <w:pPr>
        <w:ind w:left="1146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4C50614A"/>
    <w:multiLevelType w:val="hybridMultilevel"/>
    <w:tmpl w:val="1D5A7BDE"/>
    <w:lvl w:ilvl="0" w:tplc="51E06E4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7AB743C"/>
    <w:multiLevelType w:val="hybridMultilevel"/>
    <w:tmpl w:val="6D3C0306"/>
    <w:lvl w:ilvl="0" w:tplc="5DC4C1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83E01A8"/>
    <w:multiLevelType w:val="hybridMultilevel"/>
    <w:tmpl w:val="7FE63AEE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592E7507"/>
    <w:multiLevelType w:val="hybridMultilevel"/>
    <w:tmpl w:val="BE90216E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5AAF236F"/>
    <w:multiLevelType w:val="hybridMultilevel"/>
    <w:tmpl w:val="1C44AEB0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D8E4A59"/>
    <w:multiLevelType w:val="hybridMultilevel"/>
    <w:tmpl w:val="7FC6400C"/>
    <w:lvl w:ilvl="0" w:tplc="22B015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5E8C7702"/>
    <w:multiLevelType w:val="hybridMultilevel"/>
    <w:tmpl w:val="A33EED74"/>
    <w:lvl w:ilvl="0" w:tplc="34FAD6A8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3F44BE"/>
    <w:multiLevelType w:val="hybridMultilevel"/>
    <w:tmpl w:val="CFC8CD50"/>
    <w:lvl w:ilvl="0" w:tplc="2DDE2A0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63D359E2"/>
    <w:multiLevelType w:val="hybridMultilevel"/>
    <w:tmpl w:val="EE48D5D4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645136B1"/>
    <w:multiLevelType w:val="hybridMultilevel"/>
    <w:tmpl w:val="7D7CA20C"/>
    <w:lvl w:ilvl="0" w:tplc="D818BBD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76F599D"/>
    <w:multiLevelType w:val="hybridMultilevel"/>
    <w:tmpl w:val="C0424FC4"/>
    <w:lvl w:ilvl="0" w:tplc="242293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691A5360"/>
    <w:multiLevelType w:val="hybridMultilevel"/>
    <w:tmpl w:val="FECEC1F4"/>
    <w:lvl w:ilvl="0" w:tplc="592450D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34025EE"/>
    <w:multiLevelType w:val="hybridMultilevel"/>
    <w:tmpl w:val="88E674BE"/>
    <w:lvl w:ilvl="0" w:tplc="C708F076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59104D5"/>
    <w:multiLevelType w:val="hybridMultilevel"/>
    <w:tmpl w:val="31F02682"/>
    <w:lvl w:ilvl="0" w:tplc="D5C0AC44">
      <w:start w:val="1"/>
      <w:numFmt w:val="lowerLetter"/>
      <w:lvlText w:val="%1)"/>
      <w:lvlJc w:val="left"/>
      <w:pPr>
        <w:ind w:left="1004" w:hanging="360"/>
      </w:pPr>
      <w:rPr>
        <w:rFonts w:asciiTheme="minorHAnsi" w:hAnsiTheme="minorHAnsi" w:cs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>
    <w:nsid w:val="7B885DEC"/>
    <w:multiLevelType w:val="hybridMultilevel"/>
    <w:tmpl w:val="BDBEB1F4"/>
    <w:lvl w:ilvl="0" w:tplc="98E0414A">
      <w:start w:val="1"/>
      <w:numFmt w:val="lowerLetter"/>
      <w:lvlText w:val="%1)"/>
      <w:lvlJc w:val="left"/>
      <w:pPr>
        <w:ind w:left="928" w:hanging="360"/>
      </w:pPr>
      <w:rPr>
        <w:rFonts w:cs="Arial"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>
    <w:nsid w:val="7E246D61"/>
    <w:multiLevelType w:val="hybridMultilevel"/>
    <w:tmpl w:val="3B6AAF3A"/>
    <w:lvl w:ilvl="0" w:tplc="CA5CD77C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4"/>
    <w:lvlOverride w:ilvl="0">
      <w:startOverride w:val="1"/>
    </w:lvlOverride>
  </w:num>
  <w:num w:numId="4">
    <w:abstractNumId w:val="24"/>
  </w:num>
  <w:num w:numId="5">
    <w:abstractNumId w:val="44"/>
  </w:num>
  <w:num w:numId="6">
    <w:abstractNumId w:val="18"/>
  </w:num>
  <w:num w:numId="7">
    <w:abstractNumId w:val="35"/>
  </w:num>
  <w:num w:numId="8">
    <w:abstractNumId w:val="42"/>
  </w:num>
  <w:num w:numId="9">
    <w:abstractNumId w:val="21"/>
  </w:num>
  <w:num w:numId="10">
    <w:abstractNumId w:val="43"/>
  </w:num>
  <w:num w:numId="11">
    <w:abstractNumId w:val="40"/>
  </w:num>
  <w:num w:numId="12">
    <w:abstractNumId w:val="0"/>
  </w:num>
  <w:num w:numId="13">
    <w:abstractNumId w:val="11"/>
  </w:num>
  <w:num w:numId="14">
    <w:abstractNumId w:val="30"/>
  </w:num>
  <w:num w:numId="15">
    <w:abstractNumId w:val="2"/>
  </w:num>
  <w:num w:numId="16">
    <w:abstractNumId w:val="19"/>
  </w:num>
  <w:num w:numId="17">
    <w:abstractNumId w:val="28"/>
  </w:num>
  <w:num w:numId="18">
    <w:abstractNumId w:val="20"/>
  </w:num>
  <w:num w:numId="19">
    <w:abstractNumId w:val="31"/>
  </w:num>
  <w:num w:numId="20">
    <w:abstractNumId w:val="14"/>
  </w:num>
  <w:num w:numId="21">
    <w:abstractNumId w:val="16"/>
  </w:num>
  <w:num w:numId="22">
    <w:abstractNumId w:val="7"/>
  </w:num>
  <w:num w:numId="23">
    <w:abstractNumId w:val="6"/>
  </w:num>
  <w:num w:numId="24">
    <w:abstractNumId w:val="9"/>
  </w:num>
  <w:num w:numId="25">
    <w:abstractNumId w:val="23"/>
  </w:num>
  <w:num w:numId="26">
    <w:abstractNumId w:val="27"/>
  </w:num>
  <w:num w:numId="27">
    <w:abstractNumId w:val="25"/>
  </w:num>
  <w:num w:numId="28">
    <w:abstractNumId w:val="39"/>
  </w:num>
  <w:num w:numId="29">
    <w:abstractNumId w:val="12"/>
  </w:num>
  <w:num w:numId="30">
    <w:abstractNumId w:val="29"/>
  </w:num>
  <w:num w:numId="31">
    <w:abstractNumId w:val="32"/>
  </w:num>
  <w:num w:numId="32">
    <w:abstractNumId w:val="22"/>
  </w:num>
  <w:num w:numId="33">
    <w:abstractNumId w:val="3"/>
  </w:num>
  <w:num w:numId="34">
    <w:abstractNumId w:val="26"/>
  </w:num>
  <w:num w:numId="35">
    <w:abstractNumId w:val="33"/>
  </w:num>
  <w:num w:numId="36">
    <w:abstractNumId w:val="5"/>
  </w:num>
  <w:num w:numId="37">
    <w:abstractNumId w:val="17"/>
  </w:num>
  <w:num w:numId="38">
    <w:abstractNumId w:val="34"/>
  </w:num>
  <w:num w:numId="39">
    <w:abstractNumId w:val="10"/>
  </w:num>
  <w:num w:numId="40">
    <w:abstractNumId w:val="36"/>
  </w:num>
  <w:num w:numId="41">
    <w:abstractNumId w:val="41"/>
  </w:num>
  <w:num w:numId="42">
    <w:abstractNumId w:val="8"/>
  </w:num>
  <w:num w:numId="43">
    <w:abstractNumId w:val="37"/>
  </w:num>
  <w:num w:numId="44">
    <w:abstractNumId w:val="38"/>
  </w:num>
  <w:num w:numId="45">
    <w:abstractNumId w:val="15"/>
  </w:num>
  <w:num w:numId="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trackRevisions/>
  <w:defaultTabStop w:val="709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B39"/>
    <w:rsid w:val="000602C6"/>
    <w:rsid w:val="000A0488"/>
    <w:rsid w:val="00142852"/>
    <w:rsid w:val="0026211F"/>
    <w:rsid w:val="002658CC"/>
    <w:rsid w:val="00297124"/>
    <w:rsid w:val="00313D78"/>
    <w:rsid w:val="003710F8"/>
    <w:rsid w:val="003A75E6"/>
    <w:rsid w:val="003B7A33"/>
    <w:rsid w:val="003F6E8C"/>
    <w:rsid w:val="00427C7E"/>
    <w:rsid w:val="004354B9"/>
    <w:rsid w:val="00453503"/>
    <w:rsid w:val="00463380"/>
    <w:rsid w:val="00520002"/>
    <w:rsid w:val="00546CC1"/>
    <w:rsid w:val="005853B7"/>
    <w:rsid w:val="006E09A9"/>
    <w:rsid w:val="006F5648"/>
    <w:rsid w:val="008035C3"/>
    <w:rsid w:val="00830305"/>
    <w:rsid w:val="00875C7C"/>
    <w:rsid w:val="008835BD"/>
    <w:rsid w:val="008D4FAF"/>
    <w:rsid w:val="00910FF1"/>
    <w:rsid w:val="009F4F27"/>
    <w:rsid w:val="00A96B1C"/>
    <w:rsid w:val="00AE4158"/>
    <w:rsid w:val="00AF721B"/>
    <w:rsid w:val="00B20431"/>
    <w:rsid w:val="00B447DF"/>
    <w:rsid w:val="00B556DD"/>
    <w:rsid w:val="00BB3F2F"/>
    <w:rsid w:val="00BB5E8A"/>
    <w:rsid w:val="00BC0DFF"/>
    <w:rsid w:val="00BF1E80"/>
    <w:rsid w:val="00CD02E5"/>
    <w:rsid w:val="00D40B39"/>
    <w:rsid w:val="00D42BE9"/>
    <w:rsid w:val="00D97E89"/>
    <w:rsid w:val="00DC2D39"/>
    <w:rsid w:val="00DE2E77"/>
    <w:rsid w:val="00E04047"/>
    <w:rsid w:val="00E403DD"/>
    <w:rsid w:val="00E542CF"/>
    <w:rsid w:val="00F23762"/>
    <w:rsid w:val="00F62368"/>
    <w:rsid w:val="00FC370D"/>
    <w:rsid w:val="00FD742D"/>
    <w:rsid w:val="00FE1761"/>
    <w:rsid w:val="00FE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55A552"/>
  <w15:docId w15:val="{3A9C637F-88AC-4F36-B342-E6D17D8A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="Arial" w:eastAsia="Times New Roman" w:hAnsi="Arial" w:cs="Times New Roman"/>
      <w:sz w:val="22"/>
      <w:lang w:val="pt-PT" w:bidi="ar-SA"/>
    </w:rPr>
  </w:style>
  <w:style w:type="paragraph" w:styleId="Cabealho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</w:rPr>
  </w:style>
  <w:style w:type="paragraph" w:styleId="Cabealh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NewRomanPS-ItalicMT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cs="TimesNewRomanPS-ItalicMT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rFonts w:cs="TimesNewRomanPS-ItalicMT"/>
      <w:i w:val="0"/>
    </w:rPr>
  </w:style>
  <w:style w:type="character" w:customStyle="1" w:styleId="WW8Num9z0">
    <w:name w:val="WW8Num9z0"/>
    <w:qFormat/>
    <w:rPr>
      <w:rFonts w:ascii="Arial" w:eastAsia="Times New Roman" w:hAnsi="Arial" w:cs="Arial"/>
    </w:rPr>
  </w:style>
  <w:style w:type="character" w:customStyle="1" w:styleId="WW8Num10z0">
    <w:name w:val="WW8Num10z0"/>
    <w:qFormat/>
    <w:rPr>
      <w:i w:val="0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cs="TimesNewRomanPS-ItalicMT"/>
      <w:sz w:val="22"/>
      <w:szCs w:val="22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cs="TimesNewRomanPS-ItalicMT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ascii="Arial" w:eastAsia="Times New Roman" w:hAnsi="Arial" w:cs="Arial"/>
      <w:i w:val="0"/>
    </w:rPr>
  </w:style>
  <w:style w:type="character" w:customStyle="1" w:styleId="WW8Num21z0">
    <w:name w:val="WW8Num21z0"/>
    <w:qFormat/>
    <w:rPr>
      <w:rFonts w:cs="TimesNewRomanPS-ItalicMT"/>
    </w:rPr>
  </w:style>
  <w:style w:type="character" w:customStyle="1" w:styleId="WW8Num22z0">
    <w:name w:val="WW8Num22z0"/>
    <w:qFormat/>
  </w:style>
  <w:style w:type="character" w:styleId="nfase">
    <w:name w:val="Emphasis"/>
    <w:qFormat/>
    <w:rPr>
      <w:rFonts w:ascii="Arial Black" w:hAnsi="Arial Black" w:cs="Arial Black"/>
      <w:sz w:val="18"/>
      <w:lang w:bidi="ar-SA"/>
    </w:rPr>
  </w:style>
  <w:style w:type="character" w:customStyle="1" w:styleId="Cabealhodamens-nome">
    <w:name w:val="Cabeçalho da mens. - nome"/>
    <w:qFormat/>
    <w:rPr>
      <w:rFonts w:ascii="Arial Black" w:hAnsi="Arial Black" w:cs="Arial Black"/>
      <w:sz w:val="18"/>
      <w:lang w:bidi="ar-SA"/>
    </w:rPr>
  </w:style>
  <w:style w:type="character" w:customStyle="1" w:styleId="Ttulo2Carter">
    <w:name w:val="Título 2 Caráter"/>
    <w:qFormat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vanodecorpodetextoCarter">
    <w:name w:val="Avanço de corpo de texto Caráter"/>
    <w:qFormat/>
    <w:rPr>
      <w:sz w:val="24"/>
      <w:szCs w:val="24"/>
    </w:rPr>
  </w:style>
  <w:style w:type="character" w:styleId="Hiperligao">
    <w:name w:val="Hyperlink"/>
    <w:rPr>
      <w:color w:val="0563C1"/>
      <w:u w:val="single"/>
    </w:rPr>
  </w:style>
  <w:style w:type="character" w:customStyle="1" w:styleId="RodapCarter">
    <w:name w:val="Rodapé Caráter"/>
    <w:qFormat/>
    <w:rPr>
      <w:sz w:val="24"/>
      <w:szCs w:val="24"/>
    </w:rPr>
  </w:style>
  <w:style w:type="character" w:styleId="Refdecomentrio">
    <w:name w:val="annotation reference"/>
    <w:qFormat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qFormat/>
  </w:style>
  <w:style w:type="character" w:customStyle="1" w:styleId="AssuntodecomentrioCarter">
    <w:name w:val="Assunto de comentário Caráter"/>
    <w:qFormat/>
    <w:rPr>
      <w:b/>
      <w:b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DejaVu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DejaVu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DejaVu Sans"/>
    </w:rPr>
  </w:style>
  <w:style w:type="paragraph" w:styleId="Cabealhodamensagem">
    <w:name w:val="Message Header"/>
    <w:basedOn w:val="CorpodeTexto"/>
    <w:qFormat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cs="Arial"/>
      <w:spacing w:val="-5"/>
      <w:sz w:val="20"/>
      <w:szCs w:val="20"/>
    </w:rPr>
  </w:style>
  <w:style w:type="paragraph" w:customStyle="1" w:styleId="Cabealhodamens-primeiralinha">
    <w:name w:val="Cabeçalho da mens. - primeira linha"/>
    <w:basedOn w:val="Cabealhodamensagem"/>
    <w:next w:val="Cabealhodamensagem"/>
    <w:qFormat/>
  </w:style>
  <w:style w:type="paragraph" w:customStyle="1" w:styleId="Cabealhodamens-ltimalinha">
    <w:name w:val="Cabeçalho da mens. - última linha"/>
    <w:basedOn w:val="Cabealhodamensagem"/>
    <w:next w:val="CorpodeTexto"/>
    <w:qFormat/>
    <w:pPr>
      <w:pBdr>
        <w:bottom w:val="single" w:sz="6" w:space="19" w:color="000000"/>
      </w:pBdr>
      <w:tabs>
        <w:tab w:val="clear" w:pos="720"/>
        <w:tab w:val="clear" w:pos="4320"/>
        <w:tab w:val="clear" w:pos="5040"/>
        <w:tab w:val="clear" w:pos="8640"/>
        <w:tab w:val="left" w:pos="2102"/>
        <w:tab w:val="left" w:pos="3773"/>
        <w:tab w:val="left" w:pos="5875"/>
        <w:tab w:val="left" w:pos="7541"/>
      </w:tabs>
      <w:spacing w:before="120" w:after="120"/>
      <w:ind w:left="835" w:firstLine="0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lang w:val="en-US"/>
    </w:r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Avanodecorpodetexto">
    <w:name w:val="Body Text Indent"/>
    <w:basedOn w:val="Normal"/>
    <w:pPr>
      <w:spacing w:after="120"/>
      <w:ind w:left="283"/>
    </w:pPr>
    <w:rPr>
      <w:lang w:val="en-US"/>
    </w:rPr>
  </w:style>
  <w:style w:type="paragraph" w:customStyle="1" w:styleId="Recuodecorpodetexto21">
    <w:name w:val="Recuo de corpo de texto 21"/>
    <w:basedOn w:val="Normal"/>
    <w:qFormat/>
    <w:pPr>
      <w:ind w:left="3969"/>
      <w:jc w:val="both"/>
    </w:pPr>
    <w:rPr>
      <w:b/>
      <w:szCs w:val="20"/>
      <w:lang w:val="pt-BR"/>
    </w:rPr>
  </w:style>
  <w:style w:type="paragraph" w:customStyle="1" w:styleId="Recuodecorpodetexto31">
    <w:name w:val="Recuo de corpo de texto 31"/>
    <w:basedOn w:val="Normal"/>
    <w:qFormat/>
    <w:pPr>
      <w:ind w:left="3119" w:hanging="284"/>
      <w:jc w:val="both"/>
    </w:pPr>
    <w:rPr>
      <w:szCs w:val="20"/>
      <w:lang w:val="pt-BR"/>
    </w:r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 w:cs="Arial"/>
      <w:szCs w:val="22"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customStyle="1" w:styleId="Impresso1">
    <w:name w:val="Impresso1"/>
    <w:basedOn w:val="Normal"/>
    <w:qFormat/>
    <w:pPr>
      <w:tabs>
        <w:tab w:val="right" w:leader="dot" w:pos="8222"/>
      </w:tabs>
      <w:spacing w:before="100" w:line="360" w:lineRule="auto"/>
      <w:ind w:left="426" w:hanging="426"/>
    </w:pPr>
    <w:rPr>
      <w:rFonts w:ascii="Verdana" w:hAnsi="Verdana" w:cs="Verdana"/>
      <w:sz w:val="20"/>
      <w:szCs w:val="20"/>
    </w:r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lang w:val="pt-PT" w:bidi="ar-SA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qFormat/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paragraph" w:styleId="Reviso">
    <w:name w:val="Revision"/>
    <w:hidden/>
    <w:uiPriority w:val="99"/>
    <w:semiHidden/>
    <w:rsid w:val="00AE4158"/>
    <w:pPr>
      <w:suppressAutoHyphens w:val="0"/>
    </w:pPr>
    <w:rPr>
      <w:rFonts w:ascii="Arial" w:eastAsia="Times New Roman" w:hAnsi="Arial" w:cs="Times New Roman"/>
      <w:sz w:val="22"/>
      <w:lang w:val="pt-P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'1.0' encoding='UTF-8' standalone='yes'?>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geral@ipsantarem.pt" TargetMode="External"/><Relationship Id="rId2" Type="http://schemas.openxmlformats.org/officeDocument/2006/relationships/hyperlink" Target="http://www.ipsantarem.pt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4AB4A-A883-C442-9763-940FF913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23</Pages>
  <Words>4767</Words>
  <Characters>25747</Characters>
  <Application>Microsoft Macintosh Word</Application>
  <DocSecurity>0</DocSecurity>
  <Lines>214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IPSantarem</Company>
  <LinksUpToDate>false</LinksUpToDate>
  <CharactersWithSpaces>30454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Haduinda Cruz - IPSantarém</dc:creator>
  <cp:keywords/>
  <dc:description/>
  <cp:lastModifiedBy>Ana Isabel Costa - ESGTS</cp:lastModifiedBy>
  <cp:revision>3</cp:revision>
  <cp:lastPrinted>2021-12-14T17:43:00Z</cp:lastPrinted>
  <dcterms:created xsi:type="dcterms:W3CDTF">2026-09-15T00:36:00Z</dcterms:created>
  <dcterms:modified xsi:type="dcterms:W3CDTF">2026-09-16T12:32:00Z</dcterms:modified>
  <dc:language>en-US</dc:language>
</cp:coreProperties>
</file>